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67AA2" w14:textId="6F86275F" w:rsidR="004C75DC" w:rsidRDefault="004C75DC">
      <w:pPr>
        <w:pStyle w:val="BodyText"/>
        <w:kinsoku w:val="0"/>
        <w:overflowPunct w:val="0"/>
        <w:spacing w:before="71"/>
        <w:ind w:left="1" w:right="361"/>
        <w:jc w:val="center"/>
        <w:rPr>
          <w:b/>
          <w:bCs/>
          <w:spacing w:val="-4"/>
        </w:rPr>
      </w:pPr>
      <w:r>
        <w:rPr>
          <w:b/>
          <w:bCs/>
        </w:rPr>
        <w:t>SONIDA</w:t>
      </w:r>
      <w:r>
        <w:rPr>
          <w:b/>
          <w:bCs/>
          <w:spacing w:val="-4"/>
        </w:rPr>
        <w:t xml:space="preserve"> </w:t>
      </w:r>
      <w:r>
        <w:rPr>
          <w:b/>
          <w:bCs/>
        </w:rPr>
        <w:t>SENIOR</w:t>
      </w:r>
      <w:r>
        <w:rPr>
          <w:b/>
          <w:bCs/>
          <w:spacing w:val="-3"/>
        </w:rPr>
        <w:t xml:space="preserve"> </w:t>
      </w:r>
      <w:r>
        <w:rPr>
          <w:b/>
          <w:bCs/>
        </w:rPr>
        <w:t>LIVING,</w:t>
      </w:r>
      <w:r>
        <w:rPr>
          <w:b/>
          <w:bCs/>
          <w:spacing w:val="-2"/>
        </w:rPr>
        <w:t xml:space="preserve"> </w:t>
      </w:r>
      <w:r>
        <w:rPr>
          <w:b/>
          <w:bCs/>
          <w:spacing w:val="-4"/>
        </w:rPr>
        <w:t>INC.</w:t>
      </w:r>
    </w:p>
    <w:p w14:paraId="5C8B839F" w14:textId="77777777" w:rsidR="004C75DC" w:rsidRDefault="004C75DC">
      <w:pPr>
        <w:pStyle w:val="BodyText"/>
        <w:kinsoku w:val="0"/>
        <w:overflowPunct w:val="0"/>
        <w:rPr>
          <w:b/>
          <w:bCs/>
        </w:rPr>
      </w:pPr>
    </w:p>
    <w:p w14:paraId="5439A202" w14:textId="5AB0D386" w:rsidR="004C75DC" w:rsidRDefault="004C75DC" w:rsidP="00636DBB">
      <w:pPr>
        <w:pStyle w:val="BodyText"/>
        <w:kinsoku w:val="0"/>
        <w:overflowPunct w:val="0"/>
        <w:ind w:right="361"/>
        <w:jc w:val="center"/>
        <w:rPr>
          <w:b/>
          <w:bCs/>
          <w:spacing w:val="-2"/>
        </w:rPr>
      </w:pPr>
      <w:r>
        <w:rPr>
          <w:b/>
          <w:bCs/>
        </w:rPr>
        <w:t>Nominating</w:t>
      </w:r>
      <w:r>
        <w:rPr>
          <w:b/>
          <w:bCs/>
          <w:spacing w:val="-3"/>
        </w:rPr>
        <w:t xml:space="preserve"> </w:t>
      </w:r>
      <w:r>
        <w:rPr>
          <w:b/>
          <w:bCs/>
        </w:rPr>
        <w:t>and</w:t>
      </w:r>
      <w:r>
        <w:rPr>
          <w:b/>
          <w:bCs/>
          <w:spacing w:val="-2"/>
        </w:rPr>
        <w:t xml:space="preserve"> </w:t>
      </w:r>
      <w:r>
        <w:rPr>
          <w:b/>
          <w:bCs/>
        </w:rPr>
        <w:t>Corporate</w:t>
      </w:r>
      <w:r>
        <w:rPr>
          <w:b/>
          <w:bCs/>
          <w:spacing w:val="-4"/>
        </w:rPr>
        <w:t xml:space="preserve"> </w:t>
      </w:r>
      <w:r>
        <w:rPr>
          <w:b/>
          <w:bCs/>
        </w:rPr>
        <w:t>Governance</w:t>
      </w:r>
      <w:r>
        <w:rPr>
          <w:b/>
          <w:bCs/>
          <w:spacing w:val="-4"/>
        </w:rPr>
        <w:t xml:space="preserve"> </w:t>
      </w:r>
      <w:r>
        <w:rPr>
          <w:b/>
          <w:bCs/>
        </w:rPr>
        <w:t>Committee</w:t>
      </w:r>
      <w:r>
        <w:rPr>
          <w:b/>
          <w:bCs/>
          <w:spacing w:val="-3"/>
        </w:rPr>
        <w:t xml:space="preserve"> </w:t>
      </w:r>
      <w:r>
        <w:rPr>
          <w:b/>
          <w:bCs/>
          <w:spacing w:val="-2"/>
        </w:rPr>
        <w:t>Charter</w:t>
      </w:r>
    </w:p>
    <w:p w14:paraId="6D4026FD" w14:textId="77777777" w:rsidR="00725E94" w:rsidRDefault="00725E94" w:rsidP="00636DBB">
      <w:pPr>
        <w:pStyle w:val="BodyText"/>
        <w:kinsoku w:val="0"/>
        <w:overflowPunct w:val="0"/>
        <w:ind w:right="361"/>
        <w:jc w:val="center"/>
        <w:rPr>
          <w:b/>
          <w:bCs/>
          <w:spacing w:val="-2"/>
        </w:rPr>
      </w:pPr>
    </w:p>
    <w:p w14:paraId="17A9A74E" w14:textId="4D52AB9A" w:rsidR="00725E94" w:rsidRDefault="00725E94" w:rsidP="00636DBB">
      <w:pPr>
        <w:pStyle w:val="BodyText"/>
        <w:kinsoku w:val="0"/>
        <w:overflowPunct w:val="0"/>
        <w:ind w:right="361"/>
        <w:jc w:val="center"/>
        <w:rPr>
          <w:b/>
          <w:bCs/>
        </w:rPr>
      </w:pPr>
      <w:r>
        <w:rPr>
          <w:b/>
          <w:bCs/>
          <w:spacing w:val="-2"/>
        </w:rPr>
        <w:t xml:space="preserve">As adopted by the Board of Directors, effective March </w:t>
      </w:r>
      <w:r w:rsidR="0073744F">
        <w:rPr>
          <w:b/>
          <w:bCs/>
          <w:spacing w:val="-2"/>
        </w:rPr>
        <w:t>9</w:t>
      </w:r>
      <w:r>
        <w:rPr>
          <w:b/>
          <w:bCs/>
          <w:spacing w:val="-2"/>
        </w:rPr>
        <w:t>, 2026</w:t>
      </w:r>
    </w:p>
    <w:p w14:paraId="612D8278" w14:textId="77777777" w:rsidR="00F34971" w:rsidRDefault="00F34971" w:rsidP="001F23C7">
      <w:pPr>
        <w:pStyle w:val="BodyText"/>
        <w:kinsoku w:val="0"/>
        <w:overflowPunct w:val="0"/>
        <w:jc w:val="both"/>
        <w:rPr>
          <w:b/>
          <w:bCs/>
        </w:rPr>
      </w:pPr>
    </w:p>
    <w:p w14:paraId="66999123" w14:textId="114F4CAD" w:rsidR="001F23C7" w:rsidRDefault="001F23C7" w:rsidP="001F23C7">
      <w:pPr>
        <w:pStyle w:val="BodyText"/>
        <w:kinsoku w:val="0"/>
        <w:overflowPunct w:val="0"/>
        <w:jc w:val="both"/>
        <w:rPr>
          <w:b/>
          <w:bCs/>
        </w:rPr>
      </w:pPr>
      <w:r w:rsidRPr="001F23C7">
        <w:rPr>
          <w:b/>
          <w:bCs/>
        </w:rPr>
        <w:t>Purpose</w:t>
      </w:r>
    </w:p>
    <w:p w14:paraId="3DD0B648" w14:textId="77777777" w:rsidR="0073744F" w:rsidRPr="0073744F" w:rsidRDefault="0073744F" w:rsidP="001F23C7">
      <w:pPr>
        <w:pStyle w:val="BodyText"/>
        <w:kinsoku w:val="0"/>
        <w:overflowPunct w:val="0"/>
        <w:jc w:val="both"/>
        <w:rPr>
          <w:b/>
          <w:bCs/>
        </w:rPr>
      </w:pPr>
    </w:p>
    <w:p w14:paraId="4208F8C6" w14:textId="302A2CA8" w:rsidR="004C75DC" w:rsidRPr="001F23C7" w:rsidRDefault="00F34971" w:rsidP="00F34971">
      <w:pPr>
        <w:pStyle w:val="BodyText"/>
        <w:tabs>
          <w:tab w:val="left" w:pos="9630"/>
        </w:tabs>
        <w:kinsoku w:val="0"/>
        <w:overflowPunct w:val="0"/>
        <w:jc w:val="both"/>
      </w:pPr>
      <w:r w:rsidRPr="00F34971">
        <w:t>The purpose of the Nominating and Corporate Governance Committee (the “</w:t>
      </w:r>
      <w:r w:rsidRPr="00646675">
        <w:rPr>
          <w:b/>
          <w:bCs/>
          <w:i/>
          <w:iCs/>
        </w:rPr>
        <w:t>Committee</w:t>
      </w:r>
      <w:r w:rsidRPr="00F34971">
        <w:t>”)</w:t>
      </w:r>
      <w:r w:rsidR="00921C3C">
        <w:t xml:space="preserve"> of the </w:t>
      </w:r>
      <w:r w:rsidR="001A1786">
        <w:t>b</w:t>
      </w:r>
      <w:r w:rsidR="00921C3C">
        <w:t xml:space="preserve">oard of </w:t>
      </w:r>
      <w:r w:rsidR="001A1786">
        <w:t>d</w:t>
      </w:r>
      <w:r w:rsidR="00921C3C">
        <w:t>irectors (the “</w:t>
      </w:r>
      <w:r w:rsidR="00921C3C" w:rsidRPr="00646675">
        <w:rPr>
          <w:b/>
          <w:bCs/>
          <w:i/>
          <w:iCs/>
        </w:rPr>
        <w:t>Board</w:t>
      </w:r>
      <w:r w:rsidR="00921C3C">
        <w:t xml:space="preserve">”) of </w:t>
      </w:r>
      <w:bookmarkStart w:id="0" w:name="_Hlk222471375"/>
      <w:r w:rsidR="00921C3C">
        <w:t>Sonida Senior Living, Inc</w:t>
      </w:r>
      <w:r w:rsidR="00ED3241">
        <w:t>.</w:t>
      </w:r>
      <w:r w:rsidR="00921C3C">
        <w:t xml:space="preserve"> (the “</w:t>
      </w:r>
      <w:r w:rsidR="00921C3C" w:rsidRPr="00646675">
        <w:rPr>
          <w:b/>
          <w:bCs/>
          <w:i/>
          <w:iCs/>
        </w:rPr>
        <w:t>Company</w:t>
      </w:r>
      <w:r w:rsidR="00921C3C">
        <w:t>”)</w:t>
      </w:r>
      <w:bookmarkEnd w:id="0"/>
      <w:r w:rsidRPr="00F34971">
        <w:t xml:space="preserve"> is to (i) identify individuals qualified to become members of the Board, consistent with criteria approved by the Board, (ii) select, or recommend that the Board select, the director nominees for election at each annual meeting of stockholders or to fill vacancies on the Board, (iii) develop and recommend to the Board a set of corporate governance guidelines applicable to the Company and (iv) oversee the annual evaluation of the Board and management. The Committee shall also perform such other duties and responsibilities as may be delegated to it by the Board, consistent with the rules of the New York Stock Exchange (the “</w:t>
      </w:r>
      <w:r w:rsidRPr="00646675">
        <w:rPr>
          <w:b/>
          <w:bCs/>
          <w:i/>
          <w:iCs/>
        </w:rPr>
        <w:t>NYSE</w:t>
      </w:r>
      <w:r w:rsidRPr="00F34971">
        <w:t>”), the Securities and Exchange Commission (the “</w:t>
      </w:r>
      <w:r w:rsidRPr="00646675">
        <w:rPr>
          <w:b/>
          <w:bCs/>
          <w:i/>
          <w:iCs/>
        </w:rPr>
        <w:t>SEC</w:t>
      </w:r>
      <w:r w:rsidRPr="00F34971">
        <w:t>”) and applicable law.</w:t>
      </w:r>
    </w:p>
    <w:p w14:paraId="310B647D" w14:textId="77777777" w:rsidR="001F23C7" w:rsidRDefault="001F23C7" w:rsidP="00F34971">
      <w:pPr>
        <w:pStyle w:val="BodyText"/>
        <w:tabs>
          <w:tab w:val="left" w:pos="9630"/>
        </w:tabs>
        <w:kinsoku w:val="0"/>
        <w:overflowPunct w:val="0"/>
        <w:rPr>
          <w:b/>
          <w:bCs/>
        </w:rPr>
      </w:pPr>
    </w:p>
    <w:p w14:paraId="6D3C99CC" w14:textId="77777777" w:rsidR="004C75DC" w:rsidRDefault="004C75DC" w:rsidP="00F34971">
      <w:pPr>
        <w:pStyle w:val="BodyText"/>
        <w:tabs>
          <w:tab w:val="left" w:pos="9630"/>
        </w:tabs>
        <w:kinsoku w:val="0"/>
        <w:overflowPunct w:val="0"/>
        <w:ind w:left="-1"/>
        <w:rPr>
          <w:b/>
          <w:bCs/>
          <w:spacing w:val="-2"/>
        </w:rPr>
      </w:pPr>
      <w:bookmarkStart w:id="1" w:name="Organization"/>
      <w:bookmarkEnd w:id="1"/>
      <w:r>
        <w:rPr>
          <w:b/>
          <w:bCs/>
          <w:spacing w:val="-2"/>
        </w:rPr>
        <w:t>Organization</w:t>
      </w:r>
    </w:p>
    <w:p w14:paraId="48E50718" w14:textId="77777777" w:rsidR="004C75DC" w:rsidRDefault="004C75DC" w:rsidP="00F34971">
      <w:pPr>
        <w:pStyle w:val="BodyText"/>
        <w:tabs>
          <w:tab w:val="left" w:pos="9630"/>
        </w:tabs>
        <w:kinsoku w:val="0"/>
        <w:overflowPunct w:val="0"/>
        <w:rPr>
          <w:b/>
          <w:bCs/>
        </w:rPr>
      </w:pPr>
    </w:p>
    <w:p w14:paraId="47D20307" w14:textId="4F28E587" w:rsidR="00F34971" w:rsidRDefault="00544E25" w:rsidP="00646675">
      <w:pPr>
        <w:pStyle w:val="BodyText"/>
        <w:tabs>
          <w:tab w:val="left" w:pos="7920"/>
          <w:tab w:val="left" w:pos="9630"/>
        </w:tabs>
        <w:kinsoku w:val="0"/>
        <w:overflowPunct w:val="0"/>
        <w:ind w:left="-1"/>
        <w:jc w:val="both"/>
      </w:pPr>
      <w:r w:rsidRPr="00544E25">
        <w:t>The Committee shall be comp</w:t>
      </w:r>
      <w:r w:rsidR="001A1786">
        <w:t>ri</w:t>
      </w:r>
      <w:r w:rsidRPr="00544E25">
        <w:t xml:space="preserve">sed of </w:t>
      </w:r>
      <w:r w:rsidR="001A1786">
        <w:t xml:space="preserve">at least </w:t>
      </w:r>
      <w:r w:rsidRPr="00544E25">
        <w:t>three directors, each of whom meets the independence requirements of the NYSE</w:t>
      </w:r>
      <w:r w:rsidR="00C274C8">
        <w:t xml:space="preserve"> and the Company’s Corporate Governance Guidelines</w:t>
      </w:r>
      <w:r w:rsidRPr="00544E25">
        <w:t>.</w:t>
      </w:r>
      <w:r>
        <w:t xml:space="preserve"> </w:t>
      </w:r>
      <w:r w:rsidR="00C765EF" w:rsidRPr="00C765EF">
        <w:t>Determinations as to whether a particular director satisfies the requirements for membership on the Committee shall be made by the Board</w:t>
      </w:r>
      <w:r w:rsidR="00C765EF">
        <w:t>.</w:t>
      </w:r>
      <w:r w:rsidR="00C765EF" w:rsidRPr="00C765EF">
        <w:t xml:space="preserve"> </w:t>
      </w:r>
      <w:r w:rsidR="004C75DC">
        <w:t xml:space="preserve">The members of the Committee </w:t>
      </w:r>
      <w:r w:rsidR="00C765EF">
        <w:t xml:space="preserve">(i) </w:t>
      </w:r>
      <w:r w:rsidR="004C75DC">
        <w:t>shall be appointed</w:t>
      </w:r>
      <w:r w:rsidR="00C765EF">
        <w:t xml:space="preserve"> by the Board on the recommendation of the Committee, (ii) shall </w:t>
      </w:r>
      <w:r w:rsidR="004C75DC">
        <w:t xml:space="preserve">serve for </w:t>
      </w:r>
      <w:r w:rsidR="00C765EF">
        <w:t xml:space="preserve">such </w:t>
      </w:r>
      <w:r w:rsidR="004C75DC">
        <w:t>term</w:t>
      </w:r>
      <w:r w:rsidR="00C765EF">
        <w:t>s as the Board may determine, or until their earlier resignation, death or removal</w:t>
      </w:r>
      <w:r w:rsidR="0034792C">
        <w:t>,</w:t>
      </w:r>
      <w:r w:rsidR="00C765EF">
        <w:t xml:space="preserve"> </w:t>
      </w:r>
      <w:r w:rsidR="004C75DC">
        <w:t xml:space="preserve">and </w:t>
      </w:r>
      <w:r w:rsidR="00C765EF">
        <w:t xml:space="preserve">(iii) </w:t>
      </w:r>
      <w:r w:rsidR="004C75DC">
        <w:t>may be removed by the Board in its discretion</w:t>
      </w:r>
      <w:r w:rsidR="00AF1055">
        <w:t xml:space="preserve">, </w:t>
      </w:r>
      <w:r w:rsidR="00AF1055" w:rsidRPr="007D15EC">
        <w:t>subject to any contractual nomination or designation rights then in effect</w:t>
      </w:r>
      <w:r w:rsidR="004C75DC">
        <w:t>.</w:t>
      </w:r>
      <w:r w:rsidR="004C75DC" w:rsidRPr="00AB7A67">
        <w:t xml:space="preserve"> </w:t>
      </w:r>
    </w:p>
    <w:p w14:paraId="2BC0B1C7" w14:textId="77777777" w:rsidR="00F34971" w:rsidRDefault="00F34971" w:rsidP="00F34971">
      <w:pPr>
        <w:pStyle w:val="BodyText"/>
        <w:tabs>
          <w:tab w:val="left" w:pos="9630"/>
        </w:tabs>
        <w:kinsoku w:val="0"/>
        <w:overflowPunct w:val="0"/>
        <w:ind w:left="-1"/>
        <w:jc w:val="both"/>
      </w:pPr>
    </w:p>
    <w:p w14:paraId="154DF16C" w14:textId="7A133D70" w:rsidR="004C75DC" w:rsidRDefault="00AB7A67" w:rsidP="00F34971">
      <w:pPr>
        <w:pStyle w:val="BodyText"/>
        <w:tabs>
          <w:tab w:val="left" w:pos="9630"/>
        </w:tabs>
        <w:kinsoku w:val="0"/>
        <w:overflowPunct w:val="0"/>
        <w:ind w:left="-1"/>
        <w:jc w:val="both"/>
      </w:pPr>
      <w:r w:rsidRPr="00AB7A67">
        <w:t xml:space="preserve">The Board shall </w:t>
      </w:r>
      <w:r>
        <w:t xml:space="preserve">designate one member of the Committee as Chair. </w:t>
      </w:r>
      <w:r w:rsidRPr="00AB7A67">
        <w:t>If the Board does not designate a Chair</w:t>
      </w:r>
      <w:r w:rsidR="004C75DC">
        <w:t>, the members of the Committee shall designate a Chair by majority vote of the full Committee membership.</w:t>
      </w:r>
      <w:r w:rsidR="004C75DC">
        <w:rPr>
          <w:spacing w:val="40"/>
        </w:rPr>
        <w:t xml:space="preserve"> </w:t>
      </w:r>
      <w:r w:rsidR="004C75DC">
        <w:t xml:space="preserve">The Chair will </w:t>
      </w:r>
      <w:r>
        <w:t>preside</w:t>
      </w:r>
      <w:r w:rsidR="00A07A81">
        <w:t>, when present,</w:t>
      </w:r>
      <w:r>
        <w:t xml:space="preserve"> at </w:t>
      </w:r>
      <w:r w:rsidR="004C75DC">
        <w:t xml:space="preserve">all </w:t>
      </w:r>
      <w:r>
        <w:t xml:space="preserve">meetings </w:t>
      </w:r>
      <w:r w:rsidR="004C75DC">
        <w:t>of the Committee and set the agendas for Committee meetings.</w:t>
      </w:r>
    </w:p>
    <w:p w14:paraId="6A337D92" w14:textId="77777777" w:rsidR="004C75DC" w:rsidRDefault="004C75DC">
      <w:pPr>
        <w:pStyle w:val="BodyText"/>
        <w:kinsoku w:val="0"/>
        <w:overflowPunct w:val="0"/>
      </w:pPr>
    </w:p>
    <w:p w14:paraId="39AE6F39" w14:textId="7B13A8FB" w:rsidR="007C128C" w:rsidRPr="00636DBB" w:rsidRDefault="007C128C" w:rsidP="007C128C">
      <w:pPr>
        <w:pStyle w:val="TitleLeft"/>
        <w:rPr>
          <w:b w:val="0"/>
        </w:rPr>
      </w:pPr>
      <w:r w:rsidRPr="00636DBB">
        <w:t>Meetings</w:t>
      </w:r>
    </w:p>
    <w:p w14:paraId="518AD80C" w14:textId="7E12DA32" w:rsidR="00F34971" w:rsidRPr="00F34971" w:rsidRDefault="00F34971" w:rsidP="00F34971">
      <w:pPr>
        <w:pStyle w:val="BodyFirstLine5"/>
        <w:ind w:firstLine="0"/>
        <w:jc w:val="both"/>
        <w:rPr>
          <w:szCs w:val="24"/>
        </w:rPr>
      </w:pPr>
      <w:r w:rsidRPr="00F34971">
        <w:rPr>
          <w:szCs w:val="24"/>
        </w:rPr>
        <w:t>The Committee shall meet with such frequency and at such intervals as it determines necessary to carry out its duties and responsibilities. The Committee may meet at such times as determined by its Chair or as requested by any two of its members. Notice of all Committee meetings shall be given, and waiver thereof determined, in accordance with the notice and waiver requirements applicable to the Board. The Committee may meet by telephone, video conference or similar means of remote communication.</w:t>
      </w:r>
    </w:p>
    <w:p w14:paraId="7778358B" w14:textId="532022BA" w:rsidR="007C128C" w:rsidRPr="00F225FB" w:rsidRDefault="00F34971" w:rsidP="00F34971">
      <w:pPr>
        <w:pStyle w:val="BodyFirstLine5"/>
        <w:ind w:firstLine="0"/>
        <w:jc w:val="both"/>
      </w:pPr>
      <w:r w:rsidRPr="00F34971">
        <w:rPr>
          <w:szCs w:val="24"/>
        </w:rPr>
        <w:t>The Committee shall maintain minutes of each meeting</w:t>
      </w:r>
      <w:r w:rsidR="008B4124">
        <w:rPr>
          <w:szCs w:val="24"/>
        </w:rPr>
        <w:t xml:space="preserve"> of the Committee,</w:t>
      </w:r>
      <w:r w:rsidRPr="00F34971">
        <w:rPr>
          <w:szCs w:val="24"/>
        </w:rPr>
        <w:t xml:space="preserve"> and </w:t>
      </w:r>
      <w:r w:rsidR="008B4124">
        <w:rPr>
          <w:szCs w:val="24"/>
        </w:rPr>
        <w:t xml:space="preserve">each written consent to </w:t>
      </w:r>
      <w:r w:rsidRPr="00F34971">
        <w:rPr>
          <w:szCs w:val="24"/>
        </w:rPr>
        <w:t xml:space="preserve">action taken without a meeting, </w:t>
      </w:r>
      <w:r w:rsidR="008B4124">
        <w:rPr>
          <w:szCs w:val="24"/>
        </w:rPr>
        <w:t xml:space="preserve">reflecting the actions so authorized or taken by the </w:t>
      </w:r>
      <w:r w:rsidR="008B4124">
        <w:rPr>
          <w:szCs w:val="24"/>
        </w:rPr>
        <w:lastRenderedPageBreak/>
        <w:t xml:space="preserve">Committee.  A copy of the </w:t>
      </w:r>
      <w:r w:rsidRPr="00F34971">
        <w:rPr>
          <w:szCs w:val="24"/>
        </w:rPr>
        <w:t xml:space="preserve">minutes </w:t>
      </w:r>
      <w:r w:rsidR="008B4124">
        <w:rPr>
          <w:szCs w:val="24"/>
        </w:rPr>
        <w:t xml:space="preserve">of each meeting and all consents </w:t>
      </w:r>
      <w:r w:rsidRPr="00F34971">
        <w:rPr>
          <w:szCs w:val="24"/>
        </w:rPr>
        <w:t>shall be placed in the Company’s minute book.</w:t>
      </w:r>
    </w:p>
    <w:p w14:paraId="546532DD" w14:textId="3C46901B" w:rsidR="004C75DC" w:rsidRDefault="00F34971" w:rsidP="00F34971">
      <w:pPr>
        <w:pStyle w:val="BodyText"/>
        <w:kinsoku w:val="0"/>
        <w:overflowPunct w:val="0"/>
        <w:jc w:val="both"/>
        <w:rPr>
          <w:b/>
          <w:bCs/>
          <w:spacing w:val="-2"/>
        </w:rPr>
      </w:pPr>
      <w:r>
        <w:rPr>
          <w:b/>
          <w:bCs/>
        </w:rPr>
        <w:t>Authority</w:t>
      </w:r>
    </w:p>
    <w:p w14:paraId="495D268B" w14:textId="77777777" w:rsidR="004C75DC" w:rsidRDefault="004C75DC" w:rsidP="00F34971">
      <w:pPr>
        <w:pStyle w:val="BodyText"/>
        <w:kinsoku w:val="0"/>
        <w:overflowPunct w:val="0"/>
        <w:rPr>
          <w:b/>
          <w:bCs/>
        </w:rPr>
      </w:pPr>
    </w:p>
    <w:p w14:paraId="0EFCE97C" w14:textId="6043E7D2" w:rsidR="002D7A5A" w:rsidRDefault="004C75DC" w:rsidP="00F34971">
      <w:pPr>
        <w:pStyle w:val="BodyText"/>
        <w:kinsoku w:val="0"/>
        <w:overflowPunct w:val="0"/>
        <w:jc w:val="both"/>
        <w:rPr>
          <w:spacing w:val="40"/>
        </w:rPr>
      </w:pPr>
      <w:r>
        <w:t xml:space="preserve">The Committee shall </w:t>
      </w:r>
      <w:r w:rsidR="007C128C">
        <w:t xml:space="preserve">have </w:t>
      </w:r>
      <w:r>
        <w:t xml:space="preserve">full access </w:t>
      </w:r>
      <w:r w:rsidR="00986DB9">
        <w:t>to the Company’</w:t>
      </w:r>
      <w:r w:rsidR="00895F0D">
        <w:t>s</w:t>
      </w:r>
      <w:r>
        <w:t xml:space="preserve"> books, records</w:t>
      </w:r>
      <w:r w:rsidR="00A16287">
        <w:t xml:space="preserve"> and</w:t>
      </w:r>
      <w:r>
        <w:t xml:space="preserve"> facilities and </w:t>
      </w:r>
      <w:r w:rsidR="00986DB9">
        <w:t xml:space="preserve">shall have the sole authority </w:t>
      </w:r>
      <w:r>
        <w:t xml:space="preserve">to retain and terminate </w:t>
      </w:r>
      <w:r w:rsidR="00986DB9">
        <w:t>search firms</w:t>
      </w:r>
      <w:r w:rsidR="00A16287">
        <w:t xml:space="preserve"> and other consultants to assist in the identification and evaluation of director candidates, including the sole authority to approve the search firms’ or consultants’ fees and other retention terms.  The Committee shall also have authority to obtain advice and assistance from any officer or employee of the Company or, at the Company’s expense and at funding levels determined by the Committee</w:t>
      </w:r>
      <w:r w:rsidR="005A5D69">
        <w:t>,</w:t>
      </w:r>
      <w:r w:rsidR="00986DB9">
        <w:t xml:space="preserve"> </w:t>
      </w:r>
      <w:r w:rsidR="00A16287">
        <w:t xml:space="preserve">any </w:t>
      </w:r>
      <w:r>
        <w:t xml:space="preserve">outside </w:t>
      </w:r>
      <w:r w:rsidR="00A16287">
        <w:t xml:space="preserve">legal </w:t>
      </w:r>
      <w:r>
        <w:t>counsel</w:t>
      </w:r>
      <w:r w:rsidR="00A16287">
        <w:t>, expert</w:t>
      </w:r>
      <w:r>
        <w:t xml:space="preserve"> or other advisor</w:t>
      </w:r>
      <w:r w:rsidR="00A16287">
        <w:t xml:space="preserve"> to assist with the execution of the Committee’s duties and responsibilities as set forth in this Charter</w:t>
      </w:r>
      <w:r>
        <w:t>.</w:t>
      </w:r>
      <w:r>
        <w:rPr>
          <w:spacing w:val="40"/>
        </w:rPr>
        <w:t xml:space="preserve"> </w:t>
      </w:r>
    </w:p>
    <w:p w14:paraId="00C73BB9" w14:textId="77777777" w:rsidR="002D7A5A" w:rsidRDefault="002D7A5A" w:rsidP="00F34971">
      <w:pPr>
        <w:pStyle w:val="BodyText"/>
        <w:kinsoku w:val="0"/>
        <w:overflowPunct w:val="0"/>
        <w:jc w:val="both"/>
        <w:rPr>
          <w:spacing w:val="40"/>
        </w:rPr>
      </w:pPr>
    </w:p>
    <w:p w14:paraId="0E51B102" w14:textId="10E42593" w:rsidR="00F34971" w:rsidRDefault="00F34971" w:rsidP="00F34971">
      <w:pPr>
        <w:pStyle w:val="BodyText"/>
        <w:kinsoku w:val="0"/>
        <w:overflowPunct w:val="0"/>
        <w:jc w:val="both"/>
      </w:pPr>
      <w:r>
        <w:t>The Committee shall receive appropriate funding from the Company, as determined by the Committee, for payment of compensation to such advis</w:t>
      </w:r>
      <w:r w:rsidR="00A07A81">
        <w:t>o</w:t>
      </w:r>
      <w:r>
        <w:t>rs and for ordinary administrative expenses necessary or appropriate in carrying out its duties</w:t>
      </w:r>
      <w:r w:rsidR="00A16287">
        <w:t xml:space="preserve"> and responsibilities</w:t>
      </w:r>
      <w:r>
        <w:t>.</w:t>
      </w:r>
    </w:p>
    <w:p w14:paraId="6F004FBF" w14:textId="77777777" w:rsidR="00F34971" w:rsidRDefault="00F34971" w:rsidP="00F34971">
      <w:pPr>
        <w:pStyle w:val="BodyText"/>
        <w:kinsoku w:val="0"/>
        <w:overflowPunct w:val="0"/>
        <w:jc w:val="both"/>
      </w:pPr>
    </w:p>
    <w:p w14:paraId="159C8FAB" w14:textId="58DF0706" w:rsidR="004C75DC" w:rsidRDefault="00F34971" w:rsidP="00F34971">
      <w:pPr>
        <w:pStyle w:val="BodyText"/>
        <w:kinsoku w:val="0"/>
        <w:overflowPunct w:val="0"/>
        <w:jc w:val="both"/>
      </w:pPr>
      <w:r>
        <w:t xml:space="preserve">The Committee may conduct or authorize investigations into any matters within the scope of its </w:t>
      </w:r>
      <w:r w:rsidR="0071451C">
        <w:t xml:space="preserve">duties and </w:t>
      </w:r>
      <w:r>
        <w:t>responsibilities</w:t>
      </w:r>
      <w:r w:rsidR="0071451C">
        <w:t xml:space="preserve"> as the Committee deems appropriate</w:t>
      </w:r>
      <w:r>
        <w:t>.</w:t>
      </w:r>
      <w:r w:rsidR="00804542">
        <w:t xml:space="preserve"> </w:t>
      </w:r>
    </w:p>
    <w:p w14:paraId="32405F8D" w14:textId="77777777" w:rsidR="004C75DC" w:rsidRDefault="004C75DC" w:rsidP="00F34971">
      <w:pPr>
        <w:pStyle w:val="BodyText"/>
        <w:kinsoku w:val="0"/>
        <w:overflowPunct w:val="0"/>
      </w:pPr>
    </w:p>
    <w:p w14:paraId="6A9E6230" w14:textId="24D3D41C" w:rsidR="004C75DC" w:rsidRDefault="004C75DC" w:rsidP="002D17CB">
      <w:pPr>
        <w:pStyle w:val="BodyText"/>
        <w:keepNext/>
        <w:keepLines/>
        <w:kinsoku w:val="0"/>
        <w:overflowPunct w:val="0"/>
        <w:spacing w:before="1"/>
        <w:jc w:val="both"/>
        <w:rPr>
          <w:b/>
          <w:bCs/>
          <w:spacing w:val="-2"/>
        </w:rPr>
      </w:pPr>
      <w:r>
        <w:rPr>
          <w:b/>
          <w:bCs/>
        </w:rPr>
        <w:t>Delegation</w:t>
      </w:r>
      <w:r>
        <w:rPr>
          <w:b/>
          <w:bCs/>
          <w:spacing w:val="-3"/>
        </w:rPr>
        <w:t xml:space="preserve"> </w:t>
      </w:r>
      <w:r>
        <w:rPr>
          <w:b/>
          <w:bCs/>
        </w:rPr>
        <w:t>to</w:t>
      </w:r>
      <w:r>
        <w:rPr>
          <w:b/>
          <w:bCs/>
          <w:spacing w:val="-2"/>
        </w:rPr>
        <w:t xml:space="preserve"> Subcommittees</w:t>
      </w:r>
    </w:p>
    <w:p w14:paraId="5929AD98" w14:textId="1489CB96" w:rsidR="004C75DC" w:rsidRDefault="00702DA5" w:rsidP="002D17CB">
      <w:pPr>
        <w:pStyle w:val="BodyText"/>
        <w:keepNext/>
        <w:keepLines/>
        <w:kinsoku w:val="0"/>
        <w:overflowPunct w:val="0"/>
        <w:spacing w:before="276"/>
        <w:jc w:val="both"/>
        <w:rPr>
          <w:spacing w:val="-2"/>
        </w:rPr>
      </w:pPr>
      <w:r w:rsidRPr="00702DA5">
        <w:t>The Committee may form and delegate authority to one or more subcommittees consisting of one or more members of the Committee, to the extent permitted by applicable law and the rules of the NYSE and the SEC.</w:t>
      </w:r>
      <w:r w:rsidR="00777DB1" w:rsidRPr="00777DB1">
        <w:rPr>
          <w:rStyle w:val="FootnoteReference"/>
          <w:spacing w:val="-2"/>
        </w:rPr>
        <w:t xml:space="preserve"> </w:t>
      </w:r>
    </w:p>
    <w:p w14:paraId="2EF5781C" w14:textId="0AEDC7FE" w:rsidR="004C75DC" w:rsidRDefault="004C75DC" w:rsidP="00F34971">
      <w:pPr>
        <w:pStyle w:val="BodyText"/>
        <w:kinsoku w:val="0"/>
        <w:overflowPunct w:val="0"/>
        <w:spacing w:before="276"/>
        <w:rPr>
          <w:b/>
          <w:bCs/>
          <w:spacing w:val="-2"/>
        </w:rPr>
      </w:pPr>
      <w:r>
        <w:rPr>
          <w:b/>
          <w:bCs/>
          <w:spacing w:val="-2"/>
        </w:rPr>
        <w:t>Responsibilities</w:t>
      </w:r>
    </w:p>
    <w:p w14:paraId="1140E0A9" w14:textId="77777777" w:rsidR="003210A8" w:rsidRDefault="003210A8">
      <w:pPr>
        <w:pStyle w:val="BodyText"/>
        <w:kinsoku w:val="0"/>
        <w:overflowPunct w:val="0"/>
        <w:ind w:left="-1"/>
        <w:jc w:val="both"/>
      </w:pPr>
    </w:p>
    <w:p w14:paraId="00F130A0" w14:textId="4BC10193" w:rsidR="004C75DC" w:rsidRDefault="004C75DC">
      <w:pPr>
        <w:pStyle w:val="BodyText"/>
        <w:kinsoku w:val="0"/>
        <w:overflowPunct w:val="0"/>
        <w:ind w:left="-1"/>
        <w:jc w:val="both"/>
        <w:rPr>
          <w:spacing w:val="-2"/>
        </w:rPr>
      </w:pPr>
      <w:r>
        <w:t>In</w:t>
      </w:r>
      <w:r>
        <w:rPr>
          <w:spacing w:val="-1"/>
        </w:rPr>
        <w:t xml:space="preserve"> </w:t>
      </w:r>
      <w:r w:rsidR="00A16287">
        <w:rPr>
          <w:spacing w:val="-1"/>
        </w:rPr>
        <w:t>furtherance of its purpose</w:t>
      </w:r>
      <w:r>
        <w:t>,</w:t>
      </w:r>
      <w:r>
        <w:rPr>
          <w:spacing w:val="-2"/>
        </w:rPr>
        <w:t xml:space="preserve"> </w:t>
      </w:r>
      <w:r>
        <w:t>the</w:t>
      </w:r>
      <w:r>
        <w:rPr>
          <w:spacing w:val="-3"/>
        </w:rPr>
        <w:t xml:space="preserve"> </w:t>
      </w:r>
      <w:r>
        <w:t>Committee</w:t>
      </w:r>
      <w:r w:rsidR="00C6204C">
        <w:t xml:space="preserve"> </w:t>
      </w:r>
      <w:r w:rsidR="00C6204C">
        <w:rPr>
          <w:spacing w:val="-2"/>
        </w:rPr>
        <w:t>shall</w:t>
      </w:r>
      <w:r>
        <w:rPr>
          <w:spacing w:val="-2"/>
        </w:rPr>
        <w:t>:</w:t>
      </w:r>
    </w:p>
    <w:p w14:paraId="4E6C046D" w14:textId="77777777" w:rsidR="004C75DC" w:rsidRDefault="004C75DC">
      <w:pPr>
        <w:pStyle w:val="BodyText"/>
        <w:kinsoku w:val="0"/>
        <w:overflowPunct w:val="0"/>
        <w:ind w:left="-1"/>
        <w:jc w:val="both"/>
        <w:rPr>
          <w:spacing w:val="-2"/>
        </w:rPr>
      </w:pPr>
    </w:p>
    <w:p w14:paraId="7A930009" w14:textId="59FBD2E1" w:rsidR="00702DA5" w:rsidRPr="00702DA5" w:rsidRDefault="0071451C" w:rsidP="00702DA5">
      <w:pPr>
        <w:pStyle w:val="ListNumber1"/>
        <w:numPr>
          <w:ilvl w:val="0"/>
          <w:numId w:val="5"/>
        </w:numPr>
        <w:jc w:val="both"/>
        <w:rPr>
          <w:szCs w:val="24"/>
        </w:rPr>
      </w:pPr>
      <w:bookmarkStart w:id="2" w:name="_Hlk222411955"/>
      <w:r>
        <w:rPr>
          <w:szCs w:val="24"/>
        </w:rPr>
        <w:t xml:space="preserve">Recommend to the Board for approval, review the effectiveness of, recommend modifications as appropriate to and review Company disclosures concerning </w:t>
      </w:r>
      <w:r w:rsidR="00702DA5" w:rsidRPr="00702DA5">
        <w:rPr>
          <w:szCs w:val="24"/>
        </w:rPr>
        <w:t xml:space="preserve">the </w:t>
      </w:r>
      <w:r>
        <w:rPr>
          <w:szCs w:val="24"/>
        </w:rPr>
        <w:t xml:space="preserve">Company’s </w:t>
      </w:r>
      <w:r w:rsidR="00702DA5" w:rsidRPr="00702DA5">
        <w:rPr>
          <w:szCs w:val="24"/>
        </w:rPr>
        <w:t xml:space="preserve">policies and procedures for the identification, evaluation and nomination of director candidates </w:t>
      </w:r>
      <w:r w:rsidR="002E0119">
        <w:rPr>
          <w:szCs w:val="24"/>
        </w:rPr>
        <w:t>(</w:t>
      </w:r>
      <w:r w:rsidR="00702DA5" w:rsidRPr="00702DA5">
        <w:rPr>
          <w:szCs w:val="24"/>
        </w:rPr>
        <w:t>including candidates recommended by stockholders in accordance with the Company’s governing documents and applicable law</w:t>
      </w:r>
      <w:r w:rsidR="002E0119">
        <w:rPr>
          <w:szCs w:val="24"/>
        </w:rPr>
        <w:t>) and the process and criteria used to evaluate Board membership, Board committee membership and director independence</w:t>
      </w:r>
      <w:r w:rsidR="00702DA5" w:rsidRPr="00702DA5">
        <w:rPr>
          <w:szCs w:val="24"/>
        </w:rPr>
        <w:t>.</w:t>
      </w:r>
    </w:p>
    <w:p w14:paraId="7475629C" w14:textId="03CC1D9F" w:rsidR="00702DA5" w:rsidRPr="00702DA5" w:rsidRDefault="004C6053" w:rsidP="00702DA5">
      <w:pPr>
        <w:pStyle w:val="ListNumber1"/>
        <w:numPr>
          <w:ilvl w:val="0"/>
          <w:numId w:val="5"/>
        </w:numPr>
        <w:jc w:val="both"/>
        <w:rPr>
          <w:szCs w:val="24"/>
        </w:rPr>
      </w:pPr>
      <w:r>
        <w:t>S</w:t>
      </w:r>
      <w:r w:rsidRPr="007D15EC">
        <w:t>ubject to any contractual nomination or designation rights then in effect</w:t>
      </w:r>
      <w:r>
        <w:t>,</w:t>
      </w:r>
      <w:r w:rsidRPr="00702DA5">
        <w:rPr>
          <w:szCs w:val="24"/>
        </w:rPr>
        <w:t xml:space="preserve"> </w:t>
      </w:r>
      <w:r>
        <w:rPr>
          <w:szCs w:val="24"/>
        </w:rPr>
        <w:t>i</w:t>
      </w:r>
      <w:r w:rsidR="00702DA5" w:rsidRPr="00702DA5">
        <w:rPr>
          <w:szCs w:val="24"/>
        </w:rPr>
        <w:t>dentify, evaluate</w:t>
      </w:r>
      <w:r w:rsidR="0027338E">
        <w:rPr>
          <w:szCs w:val="24"/>
        </w:rPr>
        <w:t>,</w:t>
      </w:r>
      <w:r w:rsidR="00702DA5" w:rsidRPr="00702DA5">
        <w:rPr>
          <w:szCs w:val="24"/>
        </w:rPr>
        <w:t xml:space="preserve"> recruit</w:t>
      </w:r>
      <w:r w:rsidR="0027338E">
        <w:rPr>
          <w:szCs w:val="24"/>
        </w:rPr>
        <w:t>, screen and interview</w:t>
      </w:r>
      <w:r w:rsidR="00702DA5" w:rsidRPr="00702DA5">
        <w:rPr>
          <w:szCs w:val="24"/>
        </w:rPr>
        <w:t xml:space="preserve"> individuals </w:t>
      </w:r>
      <w:r w:rsidR="0027338E">
        <w:rPr>
          <w:szCs w:val="24"/>
        </w:rPr>
        <w:t xml:space="preserve">that the Committee believes are </w:t>
      </w:r>
      <w:r w:rsidR="00702DA5" w:rsidRPr="00702DA5">
        <w:rPr>
          <w:szCs w:val="24"/>
        </w:rPr>
        <w:t>qualified to become members of the Board</w:t>
      </w:r>
      <w:r w:rsidR="0027338E">
        <w:rPr>
          <w:szCs w:val="24"/>
        </w:rPr>
        <w:t>, consistent with criteria approved by the Board,</w:t>
      </w:r>
      <w:r w:rsidR="00702DA5" w:rsidRPr="00702DA5">
        <w:rPr>
          <w:szCs w:val="24"/>
        </w:rPr>
        <w:t xml:space="preserve"> and </w:t>
      </w:r>
      <w:r w:rsidR="0027338E">
        <w:rPr>
          <w:szCs w:val="24"/>
        </w:rPr>
        <w:t xml:space="preserve">select, or recommend that the Board select, </w:t>
      </w:r>
      <w:r w:rsidR="00702DA5" w:rsidRPr="00702DA5">
        <w:rPr>
          <w:szCs w:val="24"/>
        </w:rPr>
        <w:t xml:space="preserve">director nominees </w:t>
      </w:r>
      <w:r w:rsidR="0027338E">
        <w:rPr>
          <w:szCs w:val="24"/>
        </w:rPr>
        <w:t xml:space="preserve">to stand </w:t>
      </w:r>
      <w:r w:rsidR="00702DA5" w:rsidRPr="00702DA5">
        <w:rPr>
          <w:szCs w:val="24"/>
        </w:rPr>
        <w:t xml:space="preserve">for election at each annual meeting of stockholders and to fill vacancies or newly created directorships, conducting such inquiries into candidates’ backgrounds, qualifications and independence as </w:t>
      </w:r>
      <w:r w:rsidR="0034792C">
        <w:rPr>
          <w:szCs w:val="24"/>
        </w:rPr>
        <w:t>the Committee</w:t>
      </w:r>
      <w:r w:rsidR="00702DA5" w:rsidRPr="00702DA5">
        <w:rPr>
          <w:szCs w:val="24"/>
        </w:rPr>
        <w:t xml:space="preserve"> deems appropriate.</w:t>
      </w:r>
    </w:p>
    <w:p w14:paraId="5654F8ED" w14:textId="3E610F85" w:rsidR="00702DA5" w:rsidRPr="00702DA5" w:rsidRDefault="002E0119" w:rsidP="00702DA5">
      <w:pPr>
        <w:pStyle w:val="ListNumber1"/>
        <w:numPr>
          <w:ilvl w:val="0"/>
          <w:numId w:val="5"/>
        </w:numPr>
        <w:jc w:val="both"/>
        <w:rPr>
          <w:szCs w:val="24"/>
        </w:rPr>
      </w:pPr>
      <w:r>
        <w:rPr>
          <w:szCs w:val="24"/>
        </w:rPr>
        <w:lastRenderedPageBreak/>
        <w:t>Assess annually the composition of the Board</w:t>
      </w:r>
      <w:r w:rsidR="00CF6EE3">
        <w:rPr>
          <w:szCs w:val="24"/>
        </w:rPr>
        <w:t>, director tenure</w:t>
      </w:r>
      <w:r>
        <w:rPr>
          <w:szCs w:val="24"/>
        </w:rPr>
        <w:t xml:space="preserve"> </w:t>
      </w:r>
      <w:r w:rsidR="006412F6">
        <w:rPr>
          <w:szCs w:val="24"/>
        </w:rPr>
        <w:t xml:space="preserve">and </w:t>
      </w:r>
      <w:r w:rsidR="00702DA5" w:rsidRPr="00702DA5">
        <w:rPr>
          <w:szCs w:val="24"/>
        </w:rPr>
        <w:t>the appropriate skills, experience and characteristics required of Board members in light of the Company’s business and strategy</w:t>
      </w:r>
      <w:r>
        <w:rPr>
          <w:szCs w:val="24"/>
        </w:rPr>
        <w:t>, as approved by the Board, and recommend any appropriate changes to the Board</w:t>
      </w:r>
      <w:r w:rsidR="00702DA5" w:rsidRPr="00702DA5">
        <w:rPr>
          <w:szCs w:val="24"/>
        </w:rPr>
        <w:t>.</w:t>
      </w:r>
    </w:p>
    <w:p w14:paraId="14DE787D" w14:textId="1CD5BF9D" w:rsidR="00702DA5" w:rsidRPr="00702DA5" w:rsidRDefault="00702DA5" w:rsidP="00702DA5">
      <w:pPr>
        <w:pStyle w:val="ListNumber1"/>
        <w:numPr>
          <w:ilvl w:val="0"/>
          <w:numId w:val="5"/>
        </w:numPr>
        <w:jc w:val="both"/>
        <w:rPr>
          <w:szCs w:val="24"/>
        </w:rPr>
      </w:pPr>
      <w:r w:rsidRPr="00702DA5">
        <w:rPr>
          <w:szCs w:val="24"/>
        </w:rPr>
        <w:t>Review and make recommendations to the Board regarding:</w:t>
      </w:r>
    </w:p>
    <w:p w14:paraId="35C10577" w14:textId="4F97D279" w:rsidR="00702DA5" w:rsidRDefault="00A07A81" w:rsidP="00702DA5">
      <w:pPr>
        <w:pStyle w:val="ListNumber1"/>
        <w:numPr>
          <w:ilvl w:val="1"/>
          <w:numId w:val="5"/>
        </w:numPr>
        <w:jc w:val="both"/>
        <w:rPr>
          <w:szCs w:val="24"/>
        </w:rPr>
      </w:pPr>
      <w:r>
        <w:rPr>
          <w:szCs w:val="24"/>
        </w:rPr>
        <w:t>T</w:t>
      </w:r>
      <w:r w:rsidR="00702DA5" w:rsidRPr="00702DA5">
        <w:rPr>
          <w:szCs w:val="24"/>
        </w:rPr>
        <w:t>he independence of each director;</w:t>
      </w:r>
    </w:p>
    <w:p w14:paraId="5E8B72BA" w14:textId="35712128" w:rsidR="002E0119" w:rsidRPr="00702DA5" w:rsidRDefault="002E0119" w:rsidP="00702DA5">
      <w:pPr>
        <w:pStyle w:val="ListNumber1"/>
        <w:numPr>
          <w:ilvl w:val="1"/>
          <w:numId w:val="5"/>
        </w:numPr>
        <w:jc w:val="both"/>
        <w:rPr>
          <w:szCs w:val="24"/>
        </w:rPr>
      </w:pPr>
      <w:r>
        <w:rPr>
          <w:szCs w:val="24"/>
        </w:rPr>
        <w:t>The financial literacy and expertise of Audit Committee members and nominees who may be asked to serve on the Audit Committee;</w:t>
      </w:r>
    </w:p>
    <w:p w14:paraId="48FB6698" w14:textId="0E725263" w:rsidR="00702DA5" w:rsidRPr="00702DA5" w:rsidRDefault="00A07A81" w:rsidP="00702DA5">
      <w:pPr>
        <w:pStyle w:val="ListNumber1"/>
        <w:numPr>
          <w:ilvl w:val="1"/>
          <w:numId w:val="5"/>
        </w:numPr>
        <w:jc w:val="both"/>
        <w:rPr>
          <w:szCs w:val="24"/>
        </w:rPr>
      </w:pPr>
      <w:r>
        <w:rPr>
          <w:szCs w:val="24"/>
        </w:rPr>
        <w:t>W</w:t>
      </w:r>
      <w:r w:rsidR="00702DA5" w:rsidRPr="00702DA5">
        <w:rPr>
          <w:szCs w:val="24"/>
        </w:rPr>
        <w:t>hether incumbent directors should stand for re-election;</w:t>
      </w:r>
    </w:p>
    <w:p w14:paraId="6F9BB02E" w14:textId="17C36C7C" w:rsidR="00702DA5" w:rsidRPr="00702DA5" w:rsidRDefault="00A07A81" w:rsidP="00702DA5">
      <w:pPr>
        <w:pStyle w:val="ListNumber1"/>
        <w:numPr>
          <w:ilvl w:val="1"/>
          <w:numId w:val="5"/>
        </w:numPr>
        <w:jc w:val="both"/>
        <w:rPr>
          <w:szCs w:val="24"/>
        </w:rPr>
      </w:pPr>
      <w:r>
        <w:rPr>
          <w:szCs w:val="24"/>
        </w:rPr>
        <w:t>A</w:t>
      </w:r>
      <w:r w:rsidR="00702DA5" w:rsidRPr="00702DA5">
        <w:rPr>
          <w:szCs w:val="24"/>
        </w:rPr>
        <w:t>ny resignation tendered pursuant to the Company’s majority voting policy</w:t>
      </w:r>
      <w:r w:rsidR="0034606F">
        <w:rPr>
          <w:szCs w:val="24"/>
        </w:rPr>
        <w:t xml:space="preserve"> under the Company’s Corporate Governance Guidelines</w:t>
      </w:r>
      <w:r w:rsidR="00702DA5" w:rsidRPr="00702DA5">
        <w:rPr>
          <w:szCs w:val="24"/>
        </w:rPr>
        <w:t>; and</w:t>
      </w:r>
    </w:p>
    <w:p w14:paraId="42C2C22E" w14:textId="787E73AD" w:rsidR="00702DA5" w:rsidRPr="00702DA5" w:rsidRDefault="00A07A81" w:rsidP="00702DA5">
      <w:pPr>
        <w:pStyle w:val="ListNumber1"/>
        <w:numPr>
          <w:ilvl w:val="1"/>
          <w:numId w:val="5"/>
        </w:numPr>
        <w:jc w:val="both"/>
        <w:rPr>
          <w:szCs w:val="24"/>
        </w:rPr>
      </w:pPr>
      <w:r>
        <w:rPr>
          <w:szCs w:val="24"/>
        </w:rPr>
        <w:t>A</w:t>
      </w:r>
      <w:r w:rsidR="00702DA5" w:rsidRPr="00702DA5">
        <w:rPr>
          <w:szCs w:val="24"/>
        </w:rPr>
        <w:t xml:space="preserve">ny significant change in a director’s principal occupation, responsibilities or outside commitments </w:t>
      </w:r>
      <w:r w:rsidR="004105C1">
        <w:rPr>
          <w:szCs w:val="24"/>
        </w:rPr>
        <w:t xml:space="preserve">(including service on outside for-profit boards or committees thereof) </w:t>
      </w:r>
      <w:r w:rsidR="00702DA5" w:rsidRPr="00702DA5">
        <w:rPr>
          <w:szCs w:val="24"/>
        </w:rPr>
        <w:t>that may affect such director’s ability to serve effectively.</w:t>
      </w:r>
    </w:p>
    <w:p w14:paraId="44A04716" w14:textId="6609D72A" w:rsidR="00702DA5" w:rsidRPr="00702DA5" w:rsidRDefault="00702DA5" w:rsidP="00702DA5">
      <w:pPr>
        <w:pStyle w:val="ListNumber1"/>
        <w:numPr>
          <w:ilvl w:val="0"/>
          <w:numId w:val="5"/>
        </w:numPr>
        <w:jc w:val="both"/>
        <w:rPr>
          <w:szCs w:val="24"/>
        </w:rPr>
      </w:pPr>
      <w:r w:rsidRPr="00702DA5">
        <w:rPr>
          <w:szCs w:val="24"/>
        </w:rPr>
        <w:t>Review periodically the size, leadership structure and committee structure of the Board and recommend appropriate changes, including committee composition and the selection of committee chair</w:t>
      </w:r>
      <w:r w:rsidR="005A3C8B">
        <w:rPr>
          <w:szCs w:val="24"/>
        </w:rPr>
        <w:t>s</w:t>
      </w:r>
      <w:r w:rsidR="0027338E">
        <w:rPr>
          <w:szCs w:val="24"/>
        </w:rPr>
        <w:t>, and review and approve Company disclosures relating to Board leadership</w:t>
      </w:r>
      <w:r w:rsidRPr="00702DA5">
        <w:rPr>
          <w:szCs w:val="24"/>
        </w:rPr>
        <w:t>.</w:t>
      </w:r>
    </w:p>
    <w:p w14:paraId="09B112B5" w14:textId="131CC0C7" w:rsidR="0034792C" w:rsidRDefault="00702DA5" w:rsidP="00702DA5">
      <w:pPr>
        <w:pStyle w:val="ListNumber1"/>
        <w:numPr>
          <w:ilvl w:val="0"/>
          <w:numId w:val="5"/>
        </w:numPr>
        <w:jc w:val="both"/>
        <w:rPr>
          <w:szCs w:val="24"/>
        </w:rPr>
      </w:pPr>
      <w:r w:rsidRPr="00CF6EE3">
        <w:rPr>
          <w:szCs w:val="24"/>
        </w:rPr>
        <w:t>Develop and recommend to the Board corporate governance guidelines applicable to the Company, review such guidelines at least annually</w:t>
      </w:r>
      <w:r w:rsidR="004105C1" w:rsidRPr="00CF6EE3">
        <w:rPr>
          <w:szCs w:val="24"/>
        </w:rPr>
        <w:t>,</w:t>
      </w:r>
      <w:r w:rsidRPr="00CF6EE3">
        <w:rPr>
          <w:szCs w:val="24"/>
        </w:rPr>
        <w:t xml:space="preserve"> recommend any proposed changes</w:t>
      </w:r>
      <w:r w:rsidR="00740226" w:rsidRPr="00CF6EE3">
        <w:rPr>
          <w:szCs w:val="24"/>
        </w:rPr>
        <w:t xml:space="preserve"> to the Board for approval</w:t>
      </w:r>
      <w:r w:rsidRPr="00CF6EE3">
        <w:rPr>
          <w:szCs w:val="24"/>
        </w:rPr>
        <w:t>.</w:t>
      </w:r>
    </w:p>
    <w:p w14:paraId="04F04B60" w14:textId="059952CB" w:rsidR="00702DA5" w:rsidRPr="00702DA5" w:rsidRDefault="00702DA5" w:rsidP="00702DA5">
      <w:pPr>
        <w:pStyle w:val="ListNumber1"/>
        <w:numPr>
          <w:ilvl w:val="0"/>
          <w:numId w:val="5"/>
        </w:numPr>
        <w:jc w:val="both"/>
        <w:rPr>
          <w:szCs w:val="24"/>
        </w:rPr>
      </w:pPr>
      <w:r w:rsidRPr="00702DA5">
        <w:rPr>
          <w:szCs w:val="24"/>
        </w:rPr>
        <w:t>Oversee the annual evaluation process for the Board, its committees and management and report the results of such evaluations to the Board.</w:t>
      </w:r>
    </w:p>
    <w:p w14:paraId="045E004E" w14:textId="31CC4C56" w:rsidR="00410D8D" w:rsidRDefault="00410D8D" w:rsidP="00702DA5">
      <w:pPr>
        <w:pStyle w:val="ListNumber1"/>
        <w:numPr>
          <w:ilvl w:val="0"/>
          <w:numId w:val="5"/>
        </w:numPr>
        <w:jc w:val="both"/>
        <w:rPr>
          <w:szCs w:val="24"/>
        </w:rPr>
      </w:pPr>
      <w:r>
        <w:rPr>
          <w:szCs w:val="24"/>
        </w:rPr>
        <w:t>Review emerging corporate governance issues and practices including proxy advisory firm policies and recommendations.</w:t>
      </w:r>
    </w:p>
    <w:p w14:paraId="118845B2" w14:textId="7DBADA84" w:rsidR="00702DA5" w:rsidRPr="00702DA5" w:rsidRDefault="007E37F3" w:rsidP="00702DA5">
      <w:pPr>
        <w:pStyle w:val="ListNumber1"/>
        <w:numPr>
          <w:ilvl w:val="0"/>
          <w:numId w:val="5"/>
        </w:numPr>
        <w:jc w:val="both"/>
        <w:rPr>
          <w:szCs w:val="24"/>
        </w:rPr>
      </w:pPr>
      <w:r>
        <w:rPr>
          <w:szCs w:val="24"/>
        </w:rPr>
        <w:t>Develop and o</w:t>
      </w:r>
      <w:r w:rsidR="00702DA5" w:rsidRPr="00702DA5">
        <w:rPr>
          <w:szCs w:val="24"/>
        </w:rPr>
        <w:t>versee director orientation and continuing education programs.</w:t>
      </w:r>
    </w:p>
    <w:p w14:paraId="298C8F64" w14:textId="7C7FC196" w:rsidR="00702DA5" w:rsidRDefault="00702DA5" w:rsidP="00702DA5">
      <w:pPr>
        <w:pStyle w:val="ListNumber1"/>
        <w:numPr>
          <w:ilvl w:val="0"/>
          <w:numId w:val="5"/>
        </w:numPr>
        <w:jc w:val="both"/>
        <w:rPr>
          <w:szCs w:val="24"/>
        </w:rPr>
      </w:pPr>
      <w:r w:rsidRPr="00702DA5">
        <w:rPr>
          <w:szCs w:val="24"/>
        </w:rPr>
        <w:t>Review stockholder proposals and oversee the Company’s stockholder engagement process with respect to corporate governance matters.</w:t>
      </w:r>
    </w:p>
    <w:p w14:paraId="73E8D8A7" w14:textId="5DB6D0D8" w:rsidR="0079360A" w:rsidRPr="00702DA5" w:rsidRDefault="0079360A" w:rsidP="00702DA5">
      <w:pPr>
        <w:pStyle w:val="ListNumber1"/>
        <w:numPr>
          <w:ilvl w:val="0"/>
          <w:numId w:val="5"/>
        </w:numPr>
        <w:jc w:val="both"/>
        <w:rPr>
          <w:szCs w:val="24"/>
        </w:rPr>
      </w:pPr>
      <w:r>
        <w:rPr>
          <w:szCs w:val="24"/>
        </w:rPr>
        <w:t>Develop procedures for stockholders and other interested parties to communicate with the Board and advise the Board on appropriate engagement with stockholders.</w:t>
      </w:r>
    </w:p>
    <w:p w14:paraId="22FB532B" w14:textId="7147BE52" w:rsidR="004105C1" w:rsidRPr="00702DA5" w:rsidRDefault="007E37F3" w:rsidP="00702DA5">
      <w:pPr>
        <w:pStyle w:val="ListNumber1"/>
        <w:numPr>
          <w:ilvl w:val="0"/>
          <w:numId w:val="5"/>
        </w:numPr>
        <w:jc w:val="both"/>
        <w:rPr>
          <w:szCs w:val="24"/>
        </w:rPr>
      </w:pPr>
      <w:r>
        <w:rPr>
          <w:szCs w:val="24"/>
        </w:rPr>
        <w:t>Make recommendations in connection with directors’ and officers’ indemnification and insurance matters.</w:t>
      </w:r>
    </w:p>
    <w:p w14:paraId="29E95F0E" w14:textId="62921FF9" w:rsidR="00702DA5" w:rsidRPr="00702DA5" w:rsidRDefault="00702DA5" w:rsidP="00702DA5">
      <w:pPr>
        <w:pStyle w:val="ListNumber1"/>
        <w:numPr>
          <w:ilvl w:val="0"/>
          <w:numId w:val="5"/>
        </w:numPr>
        <w:jc w:val="both"/>
        <w:rPr>
          <w:szCs w:val="24"/>
        </w:rPr>
      </w:pPr>
      <w:r w:rsidRPr="00702DA5">
        <w:rPr>
          <w:szCs w:val="24"/>
        </w:rPr>
        <w:t>Report regularly to the Board regarding the activities of the Committee.</w:t>
      </w:r>
    </w:p>
    <w:p w14:paraId="78F071E0" w14:textId="6CAC0CE3" w:rsidR="00702DA5" w:rsidRDefault="00702DA5" w:rsidP="00702DA5">
      <w:pPr>
        <w:pStyle w:val="ListNumber1"/>
        <w:numPr>
          <w:ilvl w:val="0"/>
          <w:numId w:val="5"/>
        </w:numPr>
        <w:jc w:val="both"/>
        <w:rPr>
          <w:szCs w:val="24"/>
        </w:rPr>
      </w:pPr>
      <w:r w:rsidRPr="00702DA5">
        <w:rPr>
          <w:szCs w:val="24"/>
        </w:rPr>
        <w:lastRenderedPageBreak/>
        <w:t>Conduct an annual performance evaluation of the Committee and periodically review and reassess the adequacy of this Charter, recommending any proposed changes to the Board for approval.</w:t>
      </w:r>
    </w:p>
    <w:p w14:paraId="5F15E795" w14:textId="685D3996" w:rsidR="0071451C" w:rsidRPr="00702DA5" w:rsidRDefault="0071451C" w:rsidP="00702DA5">
      <w:pPr>
        <w:pStyle w:val="ListNumber1"/>
        <w:numPr>
          <w:ilvl w:val="0"/>
          <w:numId w:val="5"/>
        </w:numPr>
        <w:jc w:val="both"/>
        <w:rPr>
          <w:szCs w:val="24"/>
        </w:rPr>
      </w:pPr>
      <w:r>
        <w:rPr>
          <w:szCs w:val="24"/>
        </w:rPr>
        <w:t>Perform such other duties and have such other responsibilities, consistent with this Charter, the Company’s bylaws, governing law, the rules and regulations of the NYSE, the federal securities laws and such other requirements applicable to the Company, d</w:t>
      </w:r>
      <w:r w:rsidR="00965D2C">
        <w:rPr>
          <w:szCs w:val="24"/>
        </w:rPr>
        <w:t>e</w:t>
      </w:r>
      <w:r>
        <w:rPr>
          <w:szCs w:val="24"/>
        </w:rPr>
        <w:t>legated to the Committee by the Board.</w:t>
      </w:r>
    </w:p>
    <w:bookmarkEnd w:id="2"/>
    <w:p w14:paraId="065AA6F1" w14:textId="0761834F" w:rsidR="004D67FB" w:rsidRDefault="004D67FB" w:rsidP="00646675">
      <w:pPr>
        <w:pStyle w:val="BodyText"/>
        <w:kinsoku w:val="0"/>
        <w:overflowPunct w:val="0"/>
        <w:ind w:right="357"/>
        <w:jc w:val="both"/>
        <w:rPr>
          <w:i/>
          <w:iCs/>
        </w:rPr>
      </w:pPr>
    </w:p>
    <w:sectPr w:rsidR="004D67FB" w:rsidSect="00397484">
      <w:headerReference w:type="default" r:id="rId8"/>
      <w:footerReference w:type="even" r:id="rId9"/>
      <w:footerReference w:type="default" r:id="rId10"/>
      <w:headerReference w:type="first" r:id="rId11"/>
      <w:pgSz w:w="12240" w:h="15840"/>
      <w:pgMar w:top="1440" w:right="1440" w:bottom="1440" w:left="1440" w:header="0" w:footer="94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2B20" w14:textId="77777777" w:rsidR="003B748E" w:rsidRDefault="003B748E">
      <w:r>
        <w:separator/>
      </w:r>
    </w:p>
  </w:endnote>
  <w:endnote w:type="continuationSeparator" w:id="0">
    <w:p w14:paraId="52C506DF" w14:textId="77777777" w:rsidR="003B748E" w:rsidRDefault="003B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D825" w14:textId="77777777" w:rsidR="00CF6EE3" w:rsidRDefault="00CF6EE3" w:rsidP="00900E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5EC6C2" w14:textId="77777777" w:rsidR="00CF6EE3" w:rsidRDefault="00CF6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B14E" w14:textId="3C50F9B5" w:rsidR="00CF6EE3" w:rsidRDefault="00CF6EE3" w:rsidP="00900EC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35C4A5" w14:textId="77777777" w:rsidR="00CF6EE3" w:rsidRDefault="00CF6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2CC9" w14:textId="77777777" w:rsidR="003B748E" w:rsidRDefault="003B748E">
      <w:r>
        <w:separator/>
      </w:r>
    </w:p>
  </w:footnote>
  <w:footnote w:type="continuationSeparator" w:id="0">
    <w:p w14:paraId="1ABF91CF" w14:textId="77777777" w:rsidR="003B748E" w:rsidRDefault="003B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BF1F" w14:textId="77777777" w:rsidR="00936D15" w:rsidRDefault="00936D15">
    <w:pPr>
      <w:pStyle w:val="Header"/>
    </w:pPr>
    <w:r>
      <w:tab/>
    </w:r>
    <w:r>
      <w:tab/>
    </w:r>
  </w:p>
  <w:p w14:paraId="2EB620FA" w14:textId="77777777" w:rsidR="00897153" w:rsidRDefault="00936D15">
    <w:pPr>
      <w:pStyle w:val="Header"/>
      <w:rPr>
        <w:i/>
        <w:iCs/>
      </w:rPr>
    </w:pPr>
    <w:r>
      <w:rPr>
        <w:i/>
        <w:iCs/>
      </w:rPr>
      <w:tab/>
    </w:r>
    <w:r>
      <w:rPr>
        <w:i/>
        <w:iCs/>
      </w:rPr>
      <w:tab/>
    </w:r>
  </w:p>
  <w:p w14:paraId="19CA6B8B" w14:textId="77777777" w:rsidR="00397484" w:rsidRDefault="00397484">
    <w:pPr>
      <w:pStyle w:val="Header"/>
      <w:rPr>
        <w:i/>
        <w:iCs/>
      </w:rPr>
    </w:pPr>
  </w:p>
  <w:p w14:paraId="7612333B" w14:textId="77777777" w:rsidR="00397484" w:rsidRPr="00397484" w:rsidRDefault="00397484" w:rsidP="0039748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1730" w14:textId="77777777" w:rsidR="00397484" w:rsidRDefault="00397484" w:rsidP="00397484">
    <w:pPr>
      <w:pStyle w:val="Header"/>
      <w:jc w:val="right"/>
    </w:pPr>
  </w:p>
  <w:p w14:paraId="59DB061F" w14:textId="77777777" w:rsidR="00397484" w:rsidRDefault="00397484" w:rsidP="00397484">
    <w:pPr>
      <w:pStyle w:val="Header"/>
      <w:jc w:val="right"/>
    </w:pPr>
  </w:p>
  <w:p w14:paraId="42B73B1C" w14:textId="77777777" w:rsidR="00397484" w:rsidRDefault="00397484" w:rsidP="003974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540" w:hanging="314"/>
      </w:pPr>
      <w:rPr>
        <w:spacing w:val="0"/>
        <w:w w:val="100"/>
      </w:rPr>
    </w:lvl>
    <w:lvl w:ilvl="1">
      <w:numFmt w:val="bullet"/>
      <w:lvlText w:val="•"/>
      <w:lvlJc w:val="left"/>
      <w:pPr>
        <w:ind w:left="1458" w:hanging="314"/>
      </w:pPr>
    </w:lvl>
    <w:lvl w:ilvl="2">
      <w:numFmt w:val="bullet"/>
      <w:lvlText w:val="•"/>
      <w:lvlJc w:val="left"/>
      <w:pPr>
        <w:ind w:left="2376" w:hanging="314"/>
      </w:pPr>
    </w:lvl>
    <w:lvl w:ilvl="3">
      <w:numFmt w:val="bullet"/>
      <w:lvlText w:val="•"/>
      <w:lvlJc w:val="left"/>
      <w:pPr>
        <w:ind w:left="3294" w:hanging="314"/>
      </w:pPr>
    </w:lvl>
    <w:lvl w:ilvl="4">
      <w:numFmt w:val="bullet"/>
      <w:lvlText w:val="•"/>
      <w:lvlJc w:val="left"/>
      <w:pPr>
        <w:ind w:left="4212" w:hanging="314"/>
      </w:pPr>
    </w:lvl>
    <w:lvl w:ilvl="5">
      <w:numFmt w:val="bullet"/>
      <w:lvlText w:val="•"/>
      <w:lvlJc w:val="left"/>
      <w:pPr>
        <w:ind w:left="5130" w:hanging="314"/>
      </w:pPr>
    </w:lvl>
    <w:lvl w:ilvl="6">
      <w:numFmt w:val="bullet"/>
      <w:lvlText w:val="•"/>
      <w:lvlJc w:val="left"/>
      <w:pPr>
        <w:ind w:left="6048" w:hanging="314"/>
      </w:pPr>
    </w:lvl>
    <w:lvl w:ilvl="7">
      <w:numFmt w:val="bullet"/>
      <w:lvlText w:val="•"/>
      <w:lvlJc w:val="left"/>
      <w:pPr>
        <w:ind w:left="6966" w:hanging="314"/>
      </w:pPr>
    </w:lvl>
    <w:lvl w:ilvl="8">
      <w:numFmt w:val="bullet"/>
      <w:lvlText w:val="•"/>
      <w:lvlJc w:val="left"/>
      <w:pPr>
        <w:ind w:left="7884" w:hanging="314"/>
      </w:pPr>
    </w:lvl>
  </w:abstractNum>
  <w:abstractNum w:abstractNumId="1" w15:restartNumberingAfterBreak="0">
    <w:nsid w:val="093B4A37"/>
    <w:multiLevelType w:val="hybridMultilevel"/>
    <w:tmpl w:val="BEC41480"/>
    <w:lvl w:ilvl="0" w:tplc="7310D1B8">
      <w:start w:val="1"/>
      <w:numFmt w:val="decimal"/>
      <w:lvlText w:val="%1."/>
      <w:lvlJc w:val="left"/>
      <w:pPr>
        <w:ind w:left="565"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 w15:restartNumberingAfterBreak="0">
    <w:nsid w:val="0A19207D"/>
    <w:multiLevelType w:val="hybridMultilevel"/>
    <w:tmpl w:val="0816A196"/>
    <w:lvl w:ilvl="0" w:tplc="7310D1B8">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44413F3D"/>
    <w:multiLevelType w:val="hybridMultilevel"/>
    <w:tmpl w:val="9ECEB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519F8"/>
    <w:multiLevelType w:val="hybridMultilevel"/>
    <w:tmpl w:val="02525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C4249"/>
    <w:multiLevelType w:val="singleLevel"/>
    <w:tmpl w:val="26608404"/>
    <w:lvl w:ilvl="0">
      <w:start w:val="1"/>
      <w:numFmt w:val="decimal"/>
      <w:pStyle w:val="ListNumber2"/>
      <w:lvlText w:val="%1."/>
      <w:lvlJc w:val="left"/>
      <w:pPr>
        <w:tabs>
          <w:tab w:val="num" w:pos="360"/>
        </w:tabs>
        <w:ind w:left="360" w:hanging="360"/>
      </w:pPr>
    </w:lvl>
  </w:abstractNum>
  <w:num w:numId="1" w16cid:durableId="365179955">
    <w:abstractNumId w:val="0"/>
  </w:num>
  <w:num w:numId="2" w16cid:durableId="1139493817">
    <w:abstractNumId w:val="3"/>
  </w:num>
  <w:num w:numId="3" w16cid:durableId="346490931">
    <w:abstractNumId w:val="2"/>
  </w:num>
  <w:num w:numId="4" w16cid:durableId="1000160926">
    <w:abstractNumId w:val="5"/>
  </w:num>
  <w:num w:numId="5" w16cid:durableId="1267276132">
    <w:abstractNumId w:val="4"/>
  </w:num>
  <w:num w:numId="6" w16cid:durableId="953753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20C2"/>
    <w:rsid w:val="00040ED9"/>
    <w:rsid w:val="0005162F"/>
    <w:rsid w:val="000C57A0"/>
    <w:rsid w:val="00134712"/>
    <w:rsid w:val="0014664B"/>
    <w:rsid w:val="001A1786"/>
    <w:rsid w:val="001A2A28"/>
    <w:rsid w:val="001A3F0E"/>
    <w:rsid w:val="001C08F9"/>
    <w:rsid w:val="001F23C7"/>
    <w:rsid w:val="00213590"/>
    <w:rsid w:val="00223B33"/>
    <w:rsid w:val="002410B6"/>
    <w:rsid w:val="0026003D"/>
    <w:rsid w:val="002650F0"/>
    <w:rsid w:val="0027338E"/>
    <w:rsid w:val="002B65DB"/>
    <w:rsid w:val="002D17CB"/>
    <w:rsid w:val="002D1CDC"/>
    <w:rsid w:val="002D42D0"/>
    <w:rsid w:val="002D7A5A"/>
    <w:rsid w:val="002E0119"/>
    <w:rsid w:val="00311E47"/>
    <w:rsid w:val="003129F1"/>
    <w:rsid w:val="003210A8"/>
    <w:rsid w:val="0034606F"/>
    <w:rsid w:val="0034792C"/>
    <w:rsid w:val="003578AA"/>
    <w:rsid w:val="00371717"/>
    <w:rsid w:val="00394FEA"/>
    <w:rsid w:val="00397484"/>
    <w:rsid w:val="003B748E"/>
    <w:rsid w:val="004105C1"/>
    <w:rsid w:val="00410D8D"/>
    <w:rsid w:val="00424F3E"/>
    <w:rsid w:val="00456E3B"/>
    <w:rsid w:val="004570E7"/>
    <w:rsid w:val="004646E1"/>
    <w:rsid w:val="004C6053"/>
    <w:rsid w:val="004C75DC"/>
    <w:rsid w:val="004D67FB"/>
    <w:rsid w:val="005105B3"/>
    <w:rsid w:val="00515BD6"/>
    <w:rsid w:val="00544E25"/>
    <w:rsid w:val="00546F74"/>
    <w:rsid w:val="005A3C8B"/>
    <w:rsid w:val="005A5D69"/>
    <w:rsid w:val="006067DF"/>
    <w:rsid w:val="006309B9"/>
    <w:rsid w:val="00636DBB"/>
    <w:rsid w:val="006412F6"/>
    <w:rsid w:val="00642BFA"/>
    <w:rsid w:val="00646675"/>
    <w:rsid w:val="006B07CA"/>
    <w:rsid w:val="006C4BCD"/>
    <w:rsid w:val="006C6BE6"/>
    <w:rsid w:val="006F21B2"/>
    <w:rsid w:val="007009D3"/>
    <w:rsid w:val="00702DA5"/>
    <w:rsid w:val="0070645A"/>
    <w:rsid w:val="0071451C"/>
    <w:rsid w:val="00725E94"/>
    <w:rsid w:val="0073744F"/>
    <w:rsid w:val="00740226"/>
    <w:rsid w:val="0074419D"/>
    <w:rsid w:val="00761AD8"/>
    <w:rsid w:val="00777DB1"/>
    <w:rsid w:val="0079360A"/>
    <w:rsid w:val="007B62BE"/>
    <w:rsid w:val="007C128C"/>
    <w:rsid w:val="007E37F3"/>
    <w:rsid w:val="007F548B"/>
    <w:rsid w:val="00804542"/>
    <w:rsid w:val="0083061E"/>
    <w:rsid w:val="00867C9A"/>
    <w:rsid w:val="008752DE"/>
    <w:rsid w:val="00876BA4"/>
    <w:rsid w:val="00895F0D"/>
    <w:rsid w:val="00897153"/>
    <w:rsid w:val="008B4124"/>
    <w:rsid w:val="008D21C7"/>
    <w:rsid w:val="008D4744"/>
    <w:rsid w:val="008E341B"/>
    <w:rsid w:val="00921C3C"/>
    <w:rsid w:val="00936D15"/>
    <w:rsid w:val="00940652"/>
    <w:rsid w:val="00965D2C"/>
    <w:rsid w:val="00970C4D"/>
    <w:rsid w:val="00971355"/>
    <w:rsid w:val="009761CE"/>
    <w:rsid w:val="00986DB9"/>
    <w:rsid w:val="0099004E"/>
    <w:rsid w:val="00990A21"/>
    <w:rsid w:val="009A6466"/>
    <w:rsid w:val="009F3209"/>
    <w:rsid w:val="00A07A81"/>
    <w:rsid w:val="00A16287"/>
    <w:rsid w:val="00A249A9"/>
    <w:rsid w:val="00A3156E"/>
    <w:rsid w:val="00A56ACE"/>
    <w:rsid w:val="00A86D2C"/>
    <w:rsid w:val="00A90DB5"/>
    <w:rsid w:val="00AB7A67"/>
    <w:rsid w:val="00AD4EDA"/>
    <w:rsid w:val="00AD502F"/>
    <w:rsid w:val="00AE19F1"/>
    <w:rsid w:val="00AE3CD6"/>
    <w:rsid w:val="00AF0D3C"/>
    <w:rsid w:val="00AF1055"/>
    <w:rsid w:val="00AF488B"/>
    <w:rsid w:val="00B05274"/>
    <w:rsid w:val="00B2013D"/>
    <w:rsid w:val="00B66F2D"/>
    <w:rsid w:val="00B71C6B"/>
    <w:rsid w:val="00B72D46"/>
    <w:rsid w:val="00B80C04"/>
    <w:rsid w:val="00B96C29"/>
    <w:rsid w:val="00BD2504"/>
    <w:rsid w:val="00BD6880"/>
    <w:rsid w:val="00BE73BE"/>
    <w:rsid w:val="00C02984"/>
    <w:rsid w:val="00C20298"/>
    <w:rsid w:val="00C274C8"/>
    <w:rsid w:val="00C36541"/>
    <w:rsid w:val="00C57E9C"/>
    <w:rsid w:val="00C6204C"/>
    <w:rsid w:val="00C65229"/>
    <w:rsid w:val="00C765EF"/>
    <w:rsid w:val="00C832A0"/>
    <w:rsid w:val="00CB796C"/>
    <w:rsid w:val="00CD1328"/>
    <w:rsid w:val="00CF33DF"/>
    <w:rsid w:val="00CF6EE3"/>
    <w:rsid w:val="00D0560B"/>
    <w:rsid w:val="00D07DD6"/>
    <w:rsid w:val="00D2570A"/>
    <w:rsid w:val="00D40373"/>
    <w:rsid w:val="00D720C2"/>
    <w:rsid w:val="00DB578C"/>
    <w:rsid w:val="00DC0BD4"/>
    <w:rsid w:val="00DC0E5E"/>
    <w:rsid w:val="00DE1EF9"/>
    <w:rsid w:val="00DE5AC7"/>
    <w:rsid w:val="00E0312C"/>
    <w:rsid w:val="00E50B6A"/>
    <w:rsid w:val="00E63C2B"/>
    <w:rsid w:val="00EC2A2D"/>
    <w:rsid w:val="00ED3241"/>
    <w:rsid w:val="00ED5152"/>
    <w:rsid w:val="00F1361E"/>
    <w:rsid w:val="00F225FB"/>
    <w:rsid w:val="00F34971"/>
    <w:rsid w:val="00FB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D50133"/>
  <w14:defaultImageDpi w14:val="96"/>
  <w15:docId w15:val="{750408C7-28F9-4839-8E5D-B039E309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1"/>
    <w:rPr>
      <w:rFonts w:ascii="Times New Roman" w:hAnsi="Times New Roman" w:cs="Times New Roman"/>
      <w:kern w:val="0"/>
      <w:sz w:val="22"/>
      <w:szCs w:val="22"/>
    </w:rPr>
  </w:style>
  <w:style w:type="paragraph" w:styleId="ListParagraph">
    <w:name w:val="List Paragraph"/>
    <w:basedOn w:val="Normal"/>
    <w:uiPriority w:val="34"/>
    <w:qFormat/>
    <w:pPr>
      <w:ind w:left="1080" w:hanging="874"/>
      <w:jc w:val="both"/>
    </w:pPr>
    <w:rPr>
      <w:sz w:val="24"/>
      <w:szCs w:val="24"/>
    </w:rPr>
  </w:style>
  <w:style w:type="paragraph" w:customStyle="1" w:styleId="TableParagraph">
    <w:name w:val="Table Paragraph"/>
    <w:basedOn w:val="Normal"/>
    <w:uiPriority w:val="1"/>
    <w:qFormat/>
    <w:rPr>
      <w:sz w:val="24"/>
      <w:szCs w:val="24"/>
    </w:rPr>
  </w:style>
  <w:style w:type="paragraph" w:styleId="Revision">
    <w:name w:val="Revision"/>
    <w:hidden/>
    <w:uiPriority w:val="99"/>
    <w:semiHidden/>
    <w:rsid w:val="00D40373"/>
    <w:rPr>
      <w:rFonts w:ascii="Times New Roman" w:hAnsi="Times New Roman"/>
      <w:sz w:val="22"/>
      <w:szCs w:val="22"/>
    </w:rPr>
  </w:style>
  <w:style w:type="paragraph" w:styleId="Header">
    <w:name w:val="header"/>
    <w:basedOn w:val="Normal"/>
    <w:link w:val="HeaderChar"/>
    <w:uiPriority w:val="99"/>
    <w:unhideWhenUsed/>
    <w:rsid w:val="00D40373"/>
    <w:pPr>
      <w:tabs>
        <w:tab w:val="center" w:pos="4680"/>
        <w:tab w:val="right" w:pos="9360"/>
      </w:tabs>
    </w:pPr>
  </w:style>
  <w:style w:type="character" w:customStyle="1" w:styleId="HeaderChar">
    <w:name w:val="Header Char"/>
    <w:link w:val="Header"/>
    <w:uiPriority w:val="99"/>
    <w:rsid w:val="00D40373"/>
    <w:rPr>
      <w:rFonts w:ascii="Times New Roman" w:hAnsi="Times New Roman" w:cs="Times New Roman"/>
      <w:kern w:val="0"/>
      <w:sz w:val="22"/>
      <w:szCs w:val="22"/>
    </w:rPr>
  </w:style>
  <w:style w:type="paragraph" w:styleId="Footer">
    <w:name w:val="footer"/>
    <w:basedOn w:val="Normal"/>
    <w:link w:val="FooterChar"/>
    <w:uiPriority w:val="99"/>
    <w:unhideWhenUsed/>
    <w:rsid w:val="00D40373"/>
    <w:pPr>
      <w:tabs>
        <w:tab w:val="center" w:pos="4680"/>
        <w:tab w:val="right" w:pos="9360"/>
      </w:tabs>
    </w:pPr>
  </w:style>
  <w:style w:type="character" w:customStyle="1" w:styleId="FooterChar">
    <w:name w:val="Footer Char"/>
    <w:link w:val="Footer"/>
    <w:uiPriority w:val="99"/>
    <w:rsid w:val="00D40373"/>
    <w:rPr>
      <w:rFonts w:ascii="Times New Roman" w:hAnsi="Times New Roman" w:cs="Times New Roman"/>
      <w:kern w:val="0"/>
      <w:sz w:val="22"/>
      <w:szCs w:val="22"/>
    </w:rPr>
  </w:style>
  <w:style w:type="paragraph" w:styleId="FootnoteText">
    <w:name w:val="footnote text"/>
    <w:basedOn w:val="Normal"/>
    <w:link w:val="FootnoteTextChar"/>
    <w:unhideWhenUsed/>
    <w:rsid w:val="00424F3E"/>
    <w:rPr>
      <w:sz w:val="20"/>
      <w:szCs w:val="20"/>
    </w:rPr>
  </w:style>
  <w:style w:type="character" w:customStyle="1" w:styleId="FootnoteTextChar">
    <w:name w:val="Footnote Text Char"/>
    <w:link w:val="FootnoteText"/>
    <w:rsid w:val="00424F3E"/>
    <w:rPr>
      <w:rFonts w:ascii="Times New Roman" w:hAnsi="Times New Roman" w:cs="Times New Roman"/>
      <w:kern w:val="0"/>
      <w:sz w:val="20"/>
      <w:szCs w:val="20"/>
    </w:rPr>
  </w:style>
  <w:style w:type="character" w:styleId="FootnoteReference">
    <w:name w:val="footnote reference"/>
    <w:unhideWhenUsed/>
    <w:rsid w:val="00424F3E"/>
    <w:rPr>
      <w:vertAlign w:val="superscript"/>
    </w:rPr>
  </w:style>
  <w:style w:type="paragraph" w:customStyle="1" w:styleId="TitleLeft">
    <w:name w:val="Title Left"/>
    <w:basedOn w:val="Normal"/>
    <w:next w:val="BodyTextFirstIndent"/>
    <w:qFormat/>
    <w:rsid w:val="00B80C04"/>
    <w:pPr>
      <w:keepNext/>
      <w:widowControl/>
      <w:autoSpaceDE/>
      <w:autoSpaceDN/>
      <w:adjustRightInd/>
      <w:spacing w:after="240"/>
    </w:pPr>
    <w:rPr>
      <w:b/>
      <w:sz w:val="24"/>
      <w:szCs w:val="24"/>
    </w:rPr>
  </w:style>
  <w:style w:type="paragraph" w:customStyle="1" w:styleId="BodyFirstLine5">
    <w:name w:val="Body First Line .5&quot;"/>
    <w:basedOn w:val="Normal"/>
    <w:rsid w:val="00B80C04"/>
    <w:pPr>
      <w:widowControl/>
      <w:autoSpaceDE/>
      <w:autoSpaceDN/>
      <w:adjustRightInd/>
      <w:spacing w:after="240"/>
      <w:ind w:firstLine="720"/>
    </w:pPr>
    <w:rPr>
      <w:sz w:val="24"/>
      <w:szCs w:val="20"/>
    </w:rPr>
  </w:style>
  <w:style w:type="paragraph" w:styleId="BodyTextFirstIndent">
    <w:name w:val="Body Text First Indent"/>
    <w:basedOn w:val="BodyText"/>
    <w:link w:val="BodyTextFirstIndentChar"/>
    <w:uiPriority w:val="99"/>
    <w:semiHidden/>
    <w:unhideWhenUsed/>
    <w:rsid w:val="00B80C04"/>
    <w:pPr>
      <w:spacing w:after="120"/>
      <w:ind w:firstLine="210"/>
    </w:pPr>
    <w:rPr>
      <w:sz w:val="22"/>
      <w:szCs w:val="22"/>
    </w:rPr>
  </w:style>
  <w:style w:type="character" w:customStyle="1" w:styleId="BodyTextFirstIndentChar">
    <w:name w:val="Body Text First Indent Char"/>
    <w:link w:val="BodyTextFirstIndent"/>
    <w:uiPriority w:val="99"/>
    <w:semiHidden/>
    <w:rsid w:val="00B80C04"/>
    <w:rPr>
      <w:rFonts w:ascii="Times New Roman" w:hAnsi="Times New Roman" w:cs="Times New Roman"/>
      <w:kern w:val="0"/>
      <w:sz w:val="22"/>
      <w:szCs w:val="22"/>
    </w:rPr>
  </w:style>
  <w:style w:type="paragraph" w:customStyle="1" w:styleId="ListNumber1">
    <w:name w:val="List Number 1"/>
    <w:basedOn w:val="ListNumber2"/>
    <w:rsid w:val="00AF0D3C"/>
    <w:pPr>
      <w:widowControl/>
      <w:numPr>
        <w:numId w:val="0"/>
      </w:numPr>
      <w:autoSpaceDE/>
      <w:autoSpaceDN/>
      <w:adjustRightInd/>
      <w:spacing w:after="240"/>
      <w:contextualSpacing w:val="0"/>
    </w:pPr>
    <w:rPr>
      <w:sz w:val="24"/>
      <w:szCs w:val="20"/>
    </w:rPr>
  </w:style>
  <w:style w:type="paragraph" w:styleId="ListNumber2">
    <w:name w:val="List Number 2"/>
    <w:basedOn w:val="Normal"/>
    <w:uiPriority w:val="99"/>
    <w:semiHidden/>
    <w:unhideWhenUsed/>
    <w:rsid w:val="00AF0D3C"/>
    <w:pPr>
      <w:numPr>
        <w:numId w:val="4"/>
      </w:numPr>
      <w:contextualSpacing/>
    </w:pPr>
  </w:style>
  <w:style w:type="character" w:customStyle="1" w:styleId="searchword">
    <w:name w:val="searchword"/>
    <w:basedOn w:val="DefaultParagraphFont"/>
    <w:rsid w:val="00DC0BD4"/>
  </w:style>
  <w:style w:type="character" w:styleId="CommentReference">
    <w:name w:val="annotation reference"/>
    <w:uiPriority w:val="99"/>
    <w:semiHidden/>
    <w:unhideWhenUsed/>
    <w:rsid w:val="00A07A81"/>
    <w:rPr>
      <w:sz w:val="16"/>
      <w:szCs w:val="16"/>
    </w:rPr>
  </w:style>
  <w:style w:type="paragraph" w:styleId="CommentText">
    <w:name w:val="annotation text"/>
    <w:basedOn w:val="Normal"/>
    <w:link w:val="CommentTextChar"/>
    <w:uiPriority w:val="99"/>
    <w:unhideWhenUsed/>
    <w:rsid w:val="00A07A81"/>
    <w:rPr>
      <w:sz w:val="20"/>
      <w:szCs w:val="20"/>
    </w:rPr>
  </w:style>
  <w:style w:type="character" w:customStyle="1" w:styleId="CommentTextChar">
    <w:name w:val="Comment Text Char"/>
    <w:link w:val="CommentText"/>
    <w:uiPriority w:val="99"/>
    <w:rsid w:val="00A07A81"/>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A07A81"/>
    <w:rPr>
      <w:b/>
      <w:bCs/>
    </w:rPr>
  </w:style>
  <w:style w:type="character" w:customStyle="1" w:styleId="CommentSubjectChar">
    <w:name w:val="Comment Subject Char"/>
    <w:link w:val="CommentSubject"/>
    <w:uiPriority w:val="99"/>
    <w:semiHidden/>
    <w:rsid w:val="00A07A81"/>
    <w:rPr>
      <w:rFonts w:ascii="Times New Roman" w:hAnsi="Times New Roman" w:cs="Times New Roman"/>
      <w:b/>
      <w:bCs/>
      <w:kern w:val="0"/>
      <w:sz w:val="20"/>
      <w:szCs w:val="20"/>
    </w:rPr>
  </w:style>
  <w:style w:type="character" w:styleId="PageNumber">
    <w:name w:val="page number"/>
    <w:basedOn w:val="DefaultParagraphFont"/>
    <w:uiPriority w:val="99"/>
    <w:semiHidden/>
    <w:unhideWhenUsed/>
    <w:rsid w:val="00CF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4633">
      <w:bodyDiv w:val="1"/>
      <w:marLeft w:val="0"/>
      <w:marRight w:val="0"/>
      <w:marTop w:val="0"/>
      <w:marBottom w:val="0"/>
      <w:divBdr>
        <w:top w:val="none" w:sz="0" w:space="0" w:color="auto"/>
        <w:left w:val="none" w:sz="0" w:space="0" w:color="auto"/>
        <w:bottom w:val="none" w:sz="0" w:space="0" w:color="auto"/>
        <w:right w:val="none" w:sz="0" w:space="0" w:color="auto"/>
      </w:divBdr>
    </w:div>
    <w:div w:id="1154491193">
      <w:bodyDiv w:val="1"/>
      <w:marLeft w:val="0"/>
      <w:marRight w:val="0"/>
      <w:marTop w:val="0"/>
      <w:marBottom w:val="0"/>
      <w:divBdr>
        <w:top w:val="none" w:sz="0" w:space="0" w:color="auto"/>
        <w:left w:val="none" w:sz="0" w:space="0" w:color="auto"/>
        <w:bottom w:val="none" w:sz="0" w:space="0" w:color="auto"/>
        <w:right w:val="none" w:sz="0" w:space="0" w:color="auto"/>
      </w:divBdr>
    </w:div>
    <w:div w:id="1210534694">
      <w:bodyDiv w:val="1"/>
      <w:marLeft w:val="0"/>
      <w:marRight w:val="0"/>
      <w:marTop w:val="0"/>
      <w:marBottom w:val="0"/>
      <w:divBdr>
        <w:top w:val="none" w:sz="0" w:space="0" w:color="auto"/>
        <w:left w:val="none" w:sz="0" w:space="0" w:color="auto"/>
        <w:bottom w:val="none" w:sz="0" w:space="0" w:color="auto"/>
        <w:right w:val="none" w:sz="0" w:space="0" w:color="auto"/>
      </w:divBdr>
      <w:divsChild>
        <w:div w:id="2099060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372047">
      <w:bodyDiv w:val="1"/>
      <w:marLeft w:val="0"/>
      <w:marRight w:val="0"/>
      <w:marTop w:val="0"/>
      <w:marBottom w:val="0"/>
      <w:divBdr>
        <w:top w:val="none" w:sz="0" w:space="0" w:color="auto"/>
        <w:left w:val="none" w:sz="0" w:space="0" w:color="auto"/>
        <w:bottom w:val="none" w:sz="0" w:space="0" w:color="auto"/>
        <w:right w:val="none" w:sz="0" w:space="0" w:color="auto"/>
      </w:divBdr>
    </w:div>
    <w:div w:id="13980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503B-791E-4815-BFF6-EB71B8C4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941</Words>
  <Characters>7083</Characters>
  <Application>Microsoft Office Word</Application>
  <DocSecurity>0</DocSecurity>
  <Lines>283</Lines>
  <Paragraphs>308</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Caira Watson</dc:creator>
  <cp:keywords/>
  <dc:description/>
  <cp:lastModifiedBy>Sidley</cp:lastModifiedBy>
  <cp:revision>8</cp:revision>
  <cp:lastPrinted>2026-02-25T00:43:00Z</cp:lastPrinted>
  <dcterms:created xsi:type="dcterms:W3CDTF">2026-03-07T22:36:00Z</dcterms:created>
  <dcterms:modified xsi:type="dcterms:W3CDTF">2026-03-09T20:13:00Z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DAL02:597478.3</vt:lpwstr>
  </property>
  <property fmtid="{D5CDD505-2E9C-101B-9397-08002B2CF9AE}" pid="3" name="Creator">
    <vt:lpwstr>Acrobat PDFMaker 22 for Word</vt:lpwstr>
  </property>
  <property fmtid="{D5CDD505-2E9C-101B-9397-08002B2CF9AE}" pid="4" name="GrammarlyDocumentId">
    <vt:lpwstr>1d07f52febab4c86027b08cddd205240ae1a5d3aef8f5d5e6907d39c3dceb8b5</vt:lpwstr>
  </property>
  <property fmtid="{D5CDD505-2E9C-101B-9397-08002B2CF9AE}" pid="5" name="Producer">
    <vt:lpwstr>Adobe PDF Library 22.3.98</vt:lpwstr>
  </property>
  <property fmtid="{D5CDD505-2E9C-101B-9397-08002B2CF9AE}" pid="6" name="SourceModified">
    <vt:lpwstr>D:20230303163923</vt:lpwstr>
  </property>
  <property fmtid="{D5CDD505-2E9C-101B-9397-08002B2CF9AE}" pid="7" name="ndDocumentId">
    <vt:lpwstr>4936-9711-1952</vt:lpwstr>
  </property>
  <property fmtid="{D5CDD505-2E9C-101B-9397-08002B2CF9AE}" pid="8" name="_AdHocReviewCycleID">
    <vt:i4>-831303137</vt:i4>
  </property>
  <property fmtid="{D5CDD505-2E9C-101B-9397-08002B2CF9AE}" pid="9" name="_NewReviewCycle">
    <vt:lpwstr/>
  </property>
  <property fmtid="{D5CDD505-2E9C-101B-9397-08002B2CF9AE}" pid="10" name="_EmailSubject">
    <vt:lpwstr>SNDA - Updated Governance Docs</vt:lpwstr>
  </property>
  <property fmtid="{D5CDD505-2E9C-101B-9397-08002B2CF9AE}" pid="11" name="_AuthorEmail">
    <vt:lpwstr>bmccartney@sidley.com</vt:lpwstr>
  </property>
  <property fmtid="{D5CDD505-2E9C-101B-9397-08002B2CF9AE}" pid="12" name="_AuthorEmailDisplayName">
    <vt:lpwstr>McCartney, Brendan</vt:lpwstr>
  </property>
  <property fmtid="{D5CDD505-2E9C-101B-9397-08002B2CF9AE}" pid="14" name="_PreviousAdHocReviewCycleID">
    <vt:i4>106317931</vt:i4>
  </property>
</Properties>
</file>