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F4A6F" w:rsidRDefault="00000000">
      <w:pPr>
        <w:pStyle w:val="Title"/>
        <w:ind w:firstLine="2"/>
      </w:pPr>
      <w:r>
        <w:t>BACKBLAZE, INC.</w:t>
      </w:r>
    </w:p>
    <w:p w14:paraId="00000002" w14:textId="77777777" w:rsidR="007F4A6F" w:rsidRDefault="00000000">
      <w:pPr>
        <w:pStyle w:val="Title"/>
        <w:spacing w:before="237"/>
        <w:ind w:firstLine="2"/>
      </w:pPr>
      <w:r>
        <w:t>STOCKHOLDER COMMUNICATIONS POLICY AND PROCEDURES</w:t>
      </w:r>
    </w:p>
    <w:p w14:paraId="00000004" w14:textId="4AE64B38" w:rsidR="007F4A6F" w:rsidRDefault="007F4A6F">
      <w:pPr>
        <w:pBdr>
          <w:top w:val="nil"/>
          <w:left w:val="nil"/>
          <w:bottom w:val="nil"/>
          <w:right w:val="nil"/>
          <w:between w:val="nil"/>
        </w:pBdr>
        <w:spacing w:line="275" w:lineRule="auto"/>
        <w:ind w:left="2" w:right="3"/>
        <w:jc w:val="center"/>
        <w:rPr>
          <w:color w:val="000000"/>
          <w:sz w:val="24"/>
          <w:szCs w:val="24"/>
        </w:rPr>
      </w:pPr>
    </w:p>
    <w:p w14:paraId="00000005" w14:textId="77777777" w:rsidR="007F4A6F" w:rsidRDefault="00000000">
      <w:pPr>
        <w:pBdr>
          <w:top w:val="nil"/>
          <w:left w:val="nil"/>
          <w:bottom w:val="nil"/>
          <w:right w:val="nil"/>
          <w:between w:val="nil"/>
        </w:pBdr>
        <w:spacing w:before="242"/>
        <w:ind w:left="109" w:right="108" w:firstLine="720"/>
        <w:jc w:val="both"/>
        <w:rPr>
          <w:color w:val="000000"/>
          <w:sz w:val="24"/>
          <w:szCs w:val="24"/>
        </w:rPr>
      </w:pPr>
      <w:r>
        <w:rPr>
          <w:color w:val="000000"/>
          <w:sz w:val="24"/>
          <w:szCs w:val="24"/>
        </w:rPr>
        <w:t>Stockholder communications shall generally be directed through authorized spokespeople of Backblaze, Inc. (the “</w:t>
      </w:r>
      <w:r>
        <w:rPr>
          <w:b/>
          <w:bCs/>
          <w:i/>
          <w:iCs/>
          <w:color w:val="000000"/>
          <w:sz w:val="24"/>
          <w:szCs w:val="24"/>
        </w:rPr>
        <w:t>Company</w:t>
      </w:r>
      <w:r>
        <w:rPr>
          <w:color w:val="000000"/>
          <w:sz w:val="24"/>
          <w:szCs w:val="24"/>
        </w:rPr>
        <w:t>”) in accordance with the Company’s External Communications Policy. Individual members of the Company’s Board of Directors (the “</w:t>
      </w:r>
      <w:r>
        <w:rPr>
          <w:b/>
          <w:bCs/>
          <w:i/>
          <w:iCs/>
          <w:color w:val="000000"/>
          <w:sz w:val="24"/>
          <w:szCs w:val="24"/>
        </w:rPr>
        <w:t>Board</w:t>
      </w:r>
      <w:r>
        <w:rPr>
          <w:color w:val="000000"/>
          <w:sz w:val="24"/>
          <w:szCs w:val="24"/>
        </w:rPr>
        <w:t>”) may, from time to time, communicate with various constituencies that are involved with the Company, but it is expected that directors would do this only following consultation with the Company’s Chief Executive Officer or Chief Financial Officer and, generally, only at the request of the Company’s Chief Executive Officer or Chief Financial Officer.</w:t>
      </w:r>
    </w:p>
    <w:p w14:paraId="00000006" w14:textId="4324AFCF" w:rsidR="007F4A6F" w:rsidRDefault="00000000">
      <w:pPr>
        <w:pBdr>
          <w:top w:val="nil"/>
          <w:left w:val="nil"/>
          <w:bottom w:val="nil"/>
          <w:right w:val="nil"/>
          <w:between w:val="nil"/>
        </w:pBdr>
        <w:spacing w:before="238"/>
        <w:ind w:left="109" w:right="108" w:firstLine="720"/>
        <w:jc w:val="both"/>
        <w:rPr>
          <w:color w:val="000000"/>
          <w:sz w:val="24"/>
          <w:szCs w:val="24"/>
        </w:rPr>
      </w:pPr>
      <w:r>
        <w:rPr>
          <w:color w:val="000000"/>
          <w:sz w:val="24"/>
          <w:szCs w:val="24"/>
        </w:rPr>
        <w:t>In cases where stockholders wish to communicate directly with members of our Board or Company employees, messages can be sent to our Head of Legal and Compliance / General Counsel at Backblaze, Inc., 2261 Market Street STE 81006, San Francisco, CA 94114. Each communication should set forth (1) the name and address of the stockholder, as it appears on the Company’s books, and if the Company’s common stock is held by a nominee, the name and address of the beneficial owner of the Company’s common stock, and (2) the number of shares of the Company’s common stock that are owned of record by the record holder and beneficially by the beneficial owner.</w:t>
      </w:r>
    </w:p>
    <w:p w14:paraId="00000007" w14:textId="77777777" w:rsidR="007F4A6F" w:rsidRDefault="00000000">
      <w:pPr>
        <w:pBdr>
          <w:top w:val="nil"/>
          <w:left w:val="nil"/>
          <w:bottom w:val="nil"/>
          <w:right w:val="nil"/>
          <w:between w:val="nil"/>
        </w:pBdr>
        <w:spacing w:before="243"/>
        <w:ind w:left="109" w:right="107" w:firstLine="720"/>
        <w:jc w:val="both"/>
        <w:rPr>
          <w:color w:val="000000"/>
          <w:sz w:val="24"/>
          <w:szCs w:val="24"/>
        </w:rPr>
      </w:pPr>
      <w:r>
        <w:rPr>
          <w:color w:val="000000"/>
          <w:sz w:val="24"/>
          <w:szCs w:val="24"/>
        </w:rPr>
        <w:t>Our Investor Relations team members, General Counsel or Legal Department, as may be appropriate, shall review all incoming stockholder communications (except for typical investor communications, mass mailings, ordinary course product, support or privacy or inquiries, product or privacy complaints, job inquiries, business solicitations, and patently offensive or otherwise inappropriate material) and, as appropriate, shall route such communications to the appropriate parties, which may include one or more of the following parties: the Company’s Chief Executive Officer, Chief Financial Officer, Chairperson of the Board, Lead Independent Director or Chairperson of any applicable committee of the Board of Directors.</w:t>
      </w:r>
    </w:p>
    <w:p w14:paraId="00000008" w14:textId="7179728F" w:rsidR="007F4A6F" w:rsidRDefault="00000000">
      <w:pPr>
        <w:pBdr>
          <w:top w:val="nil"/>
          <w:left w:val="nil"/>
          <w:bottom w:val="nil"/>
          <w:right w:val="nil"/>
          <w:between w:val="nil"/>
        </w:pBdr>
        <w:spacing w:before="240"/>
        <w:ind w:left="109" w:right="108" w:firstLine="720"/>
        <w:jc w:val="both"/>
        <w:rPr>
          <w:color w:val="000000"/>
          <w:sz w:val="24"/>
          <w:szCs w:val="24"/>
        </w:rPr>
      </w:pPr>
      <w:r>
        <w:rPr>
          <w:color w:val="000000"/>
          <w:sz w:val="24"/>
          <w:szCs w:val="24"/>
        </w:rPr>
        <w:t>Our General Counsel or Legal Department shall be consulted in the event any stockholder communication raises any potential legal or investigatory issues, including issues concerning the disclosure of material, non-public information under Regulation FD or other applicable securities laws. In such case, the General Counsel shall advise in the exercise of his, her or its judgment whether a response to any stockholder communication is necessary and shall provide a report to the Company’s Nominating and Corporate Governance Committee on a quarterly basis of any stockholder communications received.</w:t>
      </w:r>
    </w:p>
    <w:p w14:paraId="00000009" w14:textId="5B2CDA66" w:rsidR="007F4A6F" w:rsidRDefault="00000000">
      <w:pPr>
        <w:pBdr>
          <w:top w:val="nil"/>
          <w:left w:val="nil"/>
          <w:bottom w:val="nil"/>
          <w:right w:val="nil"/>
          <w:between w:val="nil"/>
        </w:pBdr>
        <w:spacing w:before="240"/>
        <w:ind w:left="109" w:right="108" w:firstLine="720"/>
        <w:jc w:val="both"/>
        <w:rPr>
          <w:color w:val="000000"/>
          <w:sz w:val="24"/>
          <w:szCs w:val="24"/>
        </w:rPr>
      </w:pPr>
      <w:r>
        <w:rPr>
          <w:color w:val="000000"/>
          <w:sz w:val="24"/>
          <w:szCs w:val="24"/>
        </w:rPr>
        <w:t>This Policy and procedures for stockholder communications with the members of the Board and Company employees are administered by the Company’s Nominating and Corporate Governance Committee. These policies and procedures do not apply to (a) communications to non-employee directors from officers or directors of the Company who are stockholders, (b) stockholder proposals submitted pursuant to Rule 14a-8 under the Securities Exchange Act of 1934, as amended, or (c) director nominations and related solicitations submitted pursuant to Rule 14a-19 under the Securities Exchange Act of 1934, as amended.</w:t>
      </w:r>
    </w:p>
    <w:p w14:paraId="0000000A" w14:textId="77777777" w:rsidR="007F4A6F" w:rsidRDefault="007F4A6F">
      <w:pPr>
        <w:pBdr>
          <w:top w:val="nil"/>
          <w:left w:val="nil"/>
          <w:bottom w:val="nil"/>
          <w:right w:val="nil"/>
          <w:between w:val="nil"/>
        </w:pBdr>
        <w:rPr>
          <w:color w:val="000000"/>
          <w:sz w:val="24"/>
          <w:szCs w:val="24"/>
        </w:rPr>
      </w:pPr>
    </w:p>
    <w:p w14:paraId="0000000B" w14:textId="37D5D192" w:rsidR="007F4A6F" w:rsidRDefault="00302ABD">
      <w:pPr>
        <w:pBdr>
          <w:top w:val="nil"/>
          <w:left w:val="nil"/>
          <w:bottom w:val="nil"/>
          <w:right w:val="nil"/>
          <w:between w:val="nil"/>
        </w:pBdr>
        <w:spacing w:before="134"/>
        <w:rPr>
          <w:color w:val="000000"/>
          <w:sz w:val="24"/>
          <w:szCs w:val="24"/>
        </w:rPr>
      </w:pPr>
      <w:r>
        <w:rPr>
          <w:color w:val="000000"/>
          <w:sz w:val="24"/>
          <w:szCs w:val="24"/>
        </w:rPr>
        <w:t xml:space="preserve">Last updated </w:t>
      </w:r>
      <w:r w:rsidR="000A5058">
        <w:rPr>
          <w:color w:val="000000"/>
          <w:sz w:val="24"/>
          <w:szCs w:val="24"/>
        </w:rPr>
        <w:t>September 2</w:t>
      </w:r>
      <w:r>
        <w:rPr>
          <w:color w:val="000000"/>
          <w:sz w:val="24"/>
          <w:szCs w:val="24"/>
        </w:rPr>
        <w:t>, 2026</w:t>
      </w:r>
    </w:p>
    <w:p w14:paraId="0000000C" w14:textId="77777777" w:rsidR="007F4A6F" w:rsidRDefault="00000000">
      <w:pPr>
        <w:pBdr>
          <w:top w:val="nil"/>
          <w:left w:val="nil"/>
          <w:bottom w:val="nil"/>
          <w:right w:val="nil"/>
          <w:between w:val="nil"/>
        </w:pBdr>
        <w:spacing w:before="1"/>
        <w:ind w:right="3"/>
        <w:jc w:val="center"/>
        <w:rPr>
          <w:color w:val="000000"/>
          <w:sz w:val="24"/>
          <w:szCs w:val="24"/>
        </w:rPr>
      </w:pPr>
      <w:r>
        <w:rPr>
          <w:color w:val="000000"/>
          <w:sz w:val="24"/>
          <w:szCs w:val="24"/>
        </w:rPr>
        <w:t>1</w:t>
      </w:r>
    </w:p>
    <w:sectPr w:rsidR="007F4A6F">
      <w:pgSz w:w="12240" w:h="15840"/>
      <w:pgMar w:top="1380" w:right="1320" w:bottom="280" w:left="13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8FEBE12-1715-4E37-B3DB-958F95848C03}"/>
  </w:font>
  <w:font w:name="Cambria">
    <w:panose1 w:val="02040503050406030204"/>
    <w:charset w:val="00"/>
    <w:family w:val="roman"/>
    <w:pitch w:val="variable"/>
    <w:sig w:usb0="E00006FF" w:usb1="420024FF" w:usb2="02000000" w:usb3="00000000" w:csb0="0000019F" w:csb1="00000000"/>
    <w:embedRegular r:id="rId2" w:fontKey="{7A39C0A5-0332-48AA-8B77-D69EF4C3A99D}"/>
  </w:font>
  <w:font w:name="Calibri">
    <w:panose1 w:val="020F0502020204030204"/>
    <w:charset w:val="00"/>
    <w:family w:val="swiss"/>
    <w:pitch w:val="variable"/>
    <w:sig w:usb0="E4002EFF" w:usb1="C200247B" w:usb2="00000009" w:usb3="00000000" w:csb0="000001FF" w:csb1="00000000"/>
    <w:embedRegular r:id="rId3" w:fontKey="{9FF0C5A8-27E8-41B9-BFBA-425F53A6959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A6F"/>
    <w:rsid w:val="000A5058"/>
    <w:rsid w:val="00181F05"/>
    <w:rsid w:val="00251D8B"/>
    <w:rsid w:val="00302ABD"/>
    <w:rsid w:val="006E5E99"/>
    <w:rsid w:val="007F4A6F"/>
    <w:rsid w:val="008F3E63"/>
    <w:rsid w:val="00B17AC9"/>
    <w:rsid w:val="00DA5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8BC55"/>
  <w15:docId w15:val="{D38BF49E-11B0-4A76-B83A-90E733E7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66"/>
      <w:ind w:left="2" w:right="3"/>
      <w:jc w:val="center"/>
    </w:pPr>
    <w:rPr>
      <w:b/>
      <w:bCs/>
      <w:sz w:val="24"/>
      <w:szCs w:val="24"/>
    </w:rPr>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1E6AA8"/>
    <w:pPr>
      <w:widowControl/>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rsid w:val="000F3DF7"/>
    <w:rPr>
      <w:sz w:val="20"/>
      <w:szCs w:val="20"/>
    </w:rPr>
  </w:style>
  <w:style w:type="character" w:customStyle="1" w:styleId="CommentTextChar">
    <w:name w:val="Comment Text Char"/>
    <w:basedOn w:val="DefaultParagraphFont"/>
    <w:link w:val="CommentText"/>
    <w:uiPriority w:val="99"/>
    <w:rsid w:val="000F3DF7"/>
    <w:rPr>
      <w:sz w:val="20"/>
      <w:szCs w:val="20"/>
    </w:rPr>
  </w:style>
  <w:style w:type="paragraph" w:styleId="CommentSubject">
    <w:name w:val="annotation subject"/>
    <w:basedOn w:val="CommentText"/>
    <w:next w:val="CommentText"/>
    <w:link w:val="CommentSubjectChar"/>
    <w:uiPriority w:val="99"/>
    <w:semiHidden/>
    <w:unhideWhenUsed/>
    <w:rsid w:val="00340F2D"/>
    <w:rPr>
      <w:b/>
      <w:bCs/>
    </w:rPr>
  </w:style>
  <w:style w:type="character" w:customStyle="1" w:styleId="CommentSubjectChar">
    <w:name w:val="Comment Subject Char"/>
    <w:basedOn w:val="CommentTextChar"/>
    <w:link w:val="CommentSubject"/>
    <w:uiPriority w:val="99"/>
    <w:semiHidden/>
    <w:rsid w:val="00340F2D"/>
    <w:rPr>
      <w:rFonts w:ascii="Times New Roman" w:eastAsia="Times New Roman" w:hAnsi="Times New Roman" w:cs="Times New Roman"/>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nU+U/QwrtK+f3N+YQ52F/AWU9A==">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490</Words>
  <Characters>2795</Characters>
  <Application>Microsoft Office Word</Application>
  <DocSecurity>0</DocSecurity>
  <Lines>23</Lines>
  <Paragraphs>6</Paragraphs>
  <ScaleCrop>false</ScaleCrop>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Lindsey Fish</dc:creator>
  <cp:lastModifiedBy>Jim Berklas</cp:lastModifiedBy>
  <cp:revision>2</cp:revision>
  <dcterms:created xsi:type="dcterms:W3CDTF">2026-09-29T18:00:00Z</dcterms:created>
  <dcterms:modified xsi:type="dcterms:W3CDTF">2026-09-29T18:00:00Z</dcterms:modified>
</cp:coreProperties>
</file>