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862D81" w:rsidRDefault="00000000">
      <w:pPr>
        <w:pBdr>
          <w:top w:val="none" w:sz="0" w:space="0" w:color="000000"/>
          <w:left w:val="none" w:sz="0" w:space="0" w:color="000000"/>
          <w:bottom w:val="none" w:sz="0" w:space="0" w:color="000000"/>
          <w:right w:val="none" w:sz="0" w:space="0" w:color="000000"/>
          <w:between w:val="none" w:sz="0" w:space="0" w:color="000000"/>
        </w:pBdr>
        <w:jc w:val="center"/>
        <w:rPr>
          <w:b/>
          <w:bCs/>
          <w:color w:val="1B1C1D"/>
        </w:rPr>
      </w:pPr>
      <w:r>
        <w:rPr>
          <w:b/>
          <w:bCs/>
          <w:color w:val="1B1C1D"/>
        </w:rPr>
        <w:t>BACKBLAZE, INC.</w:t>
      </w:r>
    </w:p>
    <w:p w14:paraId="00000002" w14:textId="77777777" w:rsidR="00862D81" w:rsidRDefault="00000000">
      <w:pPr>
        <w:pBdr>
          <w:top w:val="none" w:sz="0" w:space="0" w:color="000000"/>
          <w:left w:val="none" w:sz="0" w:space="0" w:color="000000"/>
          <w:bottom w:val="none" w:sz="0" w:space="0" w:color="000000"/>
          <w:right w:val="none" w:sz="0" w:space="0" w:color="000000"/>
          <w:between w:val="none" w:sz="0" w:space="0" w:color="000000"/>
        </w:pBdr>
        <w:jc w:val="center"/>
        <w:rPr>
          <w:b/>
          <w:bCs/>
          <w:color w:val="1B1C1D"/>
        </w:rPr>
      </w:pPr>
      <w:r>
        <w:rPr>
          <w:b/>
          <w:bCs/>
          <w:color w:val="1B1C1D"/>
        </w:rPr>
        <w:t>STOCK OWNERSHIP POLICY</w:t>
      </w:r>
    </w:p>
    <w:p w14:paraId="00000003" w14:textId="77777777" w:rsidR="00862D81" w:rsidRDefault="00000000">
      <w:pPr>
        <w:pBdr>
          <w:top w:val="none" w:sz="0" w:space="0" w:color="000000"/>
          <w:left w:val="none" w:sz="0" w:space="0" w:color="000000"/>
          <w:bottom w:val="none" w:sz="0" w:space="0" w:color="000000"/>
          <w:right w:val="none" w:sz="0" w:space="0" w:color="000000"/>
          <w:between w:val="none" w:sz="0" w:space="0" w:color="000000"/>
        </w:pBdr>
        <w:spacing w:after="240"/>
        <w:jc w:val="center"/>
        <w:rPr>
          <w:b/>
          <w:bCs/>
          <w:color w:val="1B1C1D"/>
        </w:rPr>
      </w:pPr>
      <w:r>
        <w:rPr>
          <w:b/>
          <w:bCs/>
          <w:color w:val="1B1C1D"/>
        </w:rPr>
        <w:t>(Effective date: August 15, 2025)</w:t>
      </w:r>
    </w:p>
    <w:p w14:paraId="00000004" w14:textId="77777777" w:rsidR="00862D81" w:rsidRDefault="00862D81">
      <w:pPr>
        <w:pBdr>
          <w:top w:val="none" w:sz="0" w:space="0" w:color="000000"/>
          <w:left w:val="none" w:sz="0" w:space="0" w:color="000000"/>
          <w:bottom w:val="none" w:sz="0" w:space="0" w:color="000000"/>
          <w:right w:val="none" w:sz="0" w:space="0" w:color="000000"/>
          <w:between w:val="none" w:sz="0" w:space="0" w:color="000000"/>
        </w:pBdr>
        <w:rPr>
          <w:b/>
          <w:bCs/>
          <w:color w:val="1B1C1D"/>
        </w:rPr>
      </w:pPr>
    </w:p>
    <w:p w14:paraId="00000005" w14:textId="77777777" w:rsidR="00862D81" w:rsidRDefault="00000000">
      <w:pPr>
        <w:pBdr>
          <w:top w:val="none" w:sz="0" w:space="0" w:color="000000"/>
          <w:left w:val="none" w:sz="0" w:space="0" w:color="000000"/>
          <w:bottom w:val="none" w:sz="0" w:space="0" w:color="000000"/>
          <w:right w:val="none" w:sz="0" w:space="0" w:color="000000"/>
          <w:between w:val="none" w:sz="0" w:space="0" w:color="000000"/>
        </w:pBdr>
        <w:spacing w:after="240"/>
        <w:rPr>
          <w:b/>
          <w:bCs/>
          <w:color w:val="1B1C1D"/>
        </w:rPr>
      </w:pPr>
      <w:r>
        <w:rPr>
          <w:b/>
          <w:bCs/>
          <w:color w:val="1B1C1D"/>
        </w:rPr>
        <w:t>1. Policy Statement</w:t>
      </w:r>
    </w:p>
    <w:p w14:paraId="00000006" w14:textId="77777777" w:rsidR="00862D81" w:rsidRDefault="00000000">
      <w:pPr>
        <w:pBdr>
          <w:top w:val="none" w:sz="0" w:space="0" w:color="000000"/>
          <w:left w:val="none" w:sz="0" w:space="0" w:color="000000"/>
          <w:bottom w:val="none" w:sz="0" w:space="0" w:color="000000"/>
          <w:right w:val="none" w:sz="0" w:space="0" w:color="000000"/>
          <w:between w:val="none" w:sz="0" w:space="0" w:color="000000"/>
        </w:pBdr>
        <w:spacing w:after="240"/>
        <w:rPr>
          <w:color w:val="1B1C1D"/>
        </w:rPr>
      </w:pPr>
      <w:r>
        <w:rPr>
          <w:color w:val="1B1C1D"/>
        </w:rPr>
        <w:t>The Board of Directors (the “</w:t>
      </w:r>
      <w:r>
        <w:rPr>
          <w:b/>
          <w:bCs/>
          <w:i/>
          <w:iCs/>
          <w:color w:val="1B1C1D"/>
        </w:rPr>
        <w:t>Board</w:t>
      </w:r>
      <w:r>
        <w:rPr>
          <w:color w:val="1B1C1D"/>
        </w:rPr>
        <w:t>”) of Backblaze, Inc. (the “</w:t>
      </w:r>
      <w:r>
        <w:rPr>
          <w:b/>
          <w:bCs/>
          <w:i/>
          <w:iCs/>
          <w:color w:val="1B1C1D"/>
        </w:rPr>
        <w:t>Company</w:t>
      </w:r>
      <w:r>
        <w:rPr>
          <w:color w:val="1B1C1D"/>
        </w:rPr>
        <w:t>”) believes that significant stock ownership by our Non-Employee Directors, Named Executive Officers and other Executives aligns their interests with those of our stockholders, promotes long-term value creation, and fosters a culture of ownership. This policy establishes requirements for the minimum level of Company stock that Non-Employee Directors, Named Executive Officers and other Executives should own.</w:t>
      </w:r>
    </w:p>
    <w:p w14:paraId="00000007" w14:textId="77777777" w:rsidR="00862D81" w:rsidRDefault="00000000">
      <w:pPr>
        <w:pBdr>
          <w:top w:val="none" w:sz="0" w:space="0" w:color="000000"/>
          <w:left w:val="none" w:sz="0" w:space="0" w:color="000000"/>
          <w:bottom w:val="none" w:sz="0" w:space="0" w:color="000000"/>
          <w:right w:val="none" w:sz="0" w:space="0" w:color="000000"/>
          <w:between w:val="none" w:sz="0" w:space="0" w:color="000000"/>
        </w:pBdr>
        <w:spacing w:after="240"/>
        <w:rPr>
          <w:b/>
          <w:bCs/>
          <w:color w:val="1B1C1D"/>
        </w:rPr>
      </w:pPr>
      <w:r>
        <w:rPr>
          <w:b/>
          <w:bCs/>
          <w:color w:val="1B1C1D"/>
        </w:rPr>
        <w:t>2. Scope</w:t>
      </w:r>
    </w:p>
    <w:p w14:paraId="00000008" w14:textId="77777777" w:rsidR="00862D81" w:rsidRDefault="00000000">
      <w:pPr>
        <w:pBdr>
          <w:top w:val="none" w:sz="0" w:space="0" w:color="000000"/>
          <w:left w:val="none" w:sz="0" w:space="0" w:color="000000"/>
          <w:bottom w:val="none" w:sz="0" w:space="0" w:color="000000"/>
          <w:right w:val="none" w:sz="0" w:space="0" w:color="000000"/>
          <w:between w:val="none" w:sz="0" w:space="0" w:color="000000"/>
        </w:pBdr>
        <w:rPr>
          <w:color w:val="1B1C1D"/>
        </w:rPr>
      </w:pPr>
      <w:r>
        <w:rPr>
          <w:color w:val="1B1C1D"/>
        </w:rPr>
        <w:t>This policy applies to:</w:t>
      </w:r>
    </w:p>
    <w:p w14:paraId="00000009" w14:textId="77777777" w:rsidR="00862D81" w:rsidRDefault="00000000">
      <w:pPr>
        <w:numPr>
          <w:ilvl w:val="0"/>
          <w:numId w:val="1"/>
        </w:numPr>
        <w:pBdr>
          <w:top w:val="none" w:sz="0" w:space="0" w:color="000000"/>
          <w:bottom w:val="none" w:sz="0" w:space="0" w:color="000000"/>
          <w:right w:val="none" w:sz="0" w:space="0" w:color="000000"/>
          <w:between w:val="none" w:sz="0" w:space="0" w:color="000000"/>
        </w:pBdr>
      </w:pPr>
      <w:r>
        <w:rPr>
          <w:color w:val="1B1C1D"/>
        </w:rPr>
        <w:t xml:space="preserve">All Non-Employee Directors of the </w:t>
      </w:r>
      <w:proofErr w:type="gramStart"/>
      <w:r>
        <w:rPr>
          <w:color w:val="1B1C1D"/>
        </w:rPr>
        <w:t>Company;</w:t>
      </w:r>
      <w:proofErr w:type="gramEnd"/>
    </w:p>
    <w:p w14:paraId="0000000A" w14:textId="77777777" w:rsidR="00862D81" w:rsidRDefault="00000000">
      <w:pPr>
        <w:numPr>
          <w:ilvl w:val="0"/>
          <w:numId w:val="1"/>
        </w:numPr>
        <w:pBdr>
          <w:top w:val="none" w:sz="0" w:space="0" w:color="000000"/>
          <w:bottom w:val="none" w:sz="0" w:space="0" w:color="000000"/>
          <w:right w:val="none" w:sz="0" w:space="0" w:color="000000"/>
          <w:between w:val="none" w:sz="0" w:space="0" w:color="000000"/>
        </w:pBdr>
      </w:pPr>
      <w:r>
        <w:rPr>
          <w:color w:val="1B1C1D"/>
        </w:rPr>
        <w:t>All Named Executive Officers, including the Chief Executive Officer (“</w:t>
      </w:r>
      <w:r>
        <w:rPr>
          <w:b/>
          <w:bCs/>
          <w:i/>
          <w:iCs/>
          <w:color w:val="1B1C1D"/>
        </w:rPr>
        <w:t>CEO</w:t>
      </w:r>
      <w:r>
        <w:rPr>
          <w:color w:val="1B1C1D"/>
        </w:rPr>
        <w:t>”), and other officers designated as “Named Executive Officers</w:t>
      </w:r>
      <w:proofErr w:type="gramStart"/>
      <w:r>
        <w:rPr>
          <w:color w:val="1B1C1D"/>
        </w:rPr>
        <w:t>”;</w:t>
      </w:r>
      <w:proofErr w:type="gramEnd"/>
      <w:r>
        <w:rPr>
          <w:color w:val="1B1C1D"/>
        </w:rPr>
        <w:t xml:space="preserve"> and </w:t>
      </w:r>
    </w:p>
    <w:p w14:paraId="0000000B" w14:textId="77777777" w:rsidR="00862D81" w:rsidRDefault="00000000">
      <w:pPr>
        <w:numPr>
          <w:ilvl w:val="0"/>
          <w:numId w:val="1"/>
        </w:numPr>
        <w:pBdr>
          <w:top w:val="none" w:sz="0" w:space="0" w:color="000000"/>
          <w:bottom w:val="none" w:sz="0" w:space="0" w:color="000000"/>
          <w:right w:val="none" w:sz="0" w:space="0" w:color="000000"/>
          <w:between w:val="none" w:sz="0" w:space="0" w:color="000000"/>
        </w:pBdr>
        <w:spacing w:after="360"/>
      </w:pPr>
      <w:r>
        <w:rPr>
          <w:color w:val="1B1C1D"/>
        </w:rPr>
        <w:t>All other “Executives” that are Vice President or above and report directly to the CEO.</w:t>
      </w:r>
    </w:p>
    <w:p w14:paraId="0000000C" w14:textId="77777777" w:rsidR="00862D81" w:rsidRDefault="00000000">
      <w:pPr>
        <w:pBdr>
          <w:top w:val="none" w:sz="0" w:space="0" w:color="000000"/>
          <w:left w:val="none" w:sz="0" w:space="0" w:color="000000"/>
          <w:bottom w:val="none" w:sz="0" w:space="0" w:color="000000"/>
          <w:right w:val="none" w:sz="0" w:space="0" w:color="000000"/>
          <w:between w:val="none" w:sz="0" w:space="0" w:color="000000"/>
        </w:pBdr>
        <w:spacing w:after="240"/>
        <w:rPr>
          <w:b/>
          <w:bCs/>
          <w:color w:val="1B1C1D"/>
        </w:rPr>
      </w:pPr>
      <w:r>
        <w:rPr>
          <w:b/>
          <w:bCs/>
          <w:color w:val="1B1C1D"/>
        </w:rPr>
        <w:t>3. Stock Ownership Requirements</w:t>
      </w:r>
    </w:p>
    <w:p w14:paraId="0000000D" w14:textId="77777777" w:rsidR="00862D81" w:rsidRDefault="00000000">
      <w:pPr>
        <w:pBdr>
          <w:top w:val="none" w:sz="0" w:space="0" w:color="000000"/>
          <w:left w:val="none" w:sz="0" w:space="0" w:color="000000"/>
          <w:bottom w:val="none" w:sz="0" w:space="0" w:color="000000"/>
          <w:right w:val="none" w:sz="0" w:space="0" w:color="000000"/>
          <w:between w:val="none" w:sz="0" w:space="0" w:color="000000"/>
        </w:pBdr>
        <w:spacing w:after="240"/>
        <w:rPr>
          <w:color w:val="1B1C1D"/>
        </w:rPr>
      </w:pPr>
      <w:r>
        <w:rPr>
          <w:color w:val="1B1C1D"/>
        </w:rPr>
        <w:t>Subject to the compliance period effective date, and the share retention requirement, each person in the categories identified below shall beneficially hold shares of the Company’s Class A Common Stock (“</w:t>
      </w:r>
      <w:r>
        <w:rPr>
          <w:b/>
          <w:bCs/>
          <w:i/>
          <w:iCs/>
          <w:color w:val="1B1C1D"/>
        </w:rPr>
        <w:t>Common Stock</w:t>
      </w:r>
      <w:r>
        <w:rPr>
          <w:color w:val="1B1C1D"/>
        </w:rPr>
        <w:t>”) in the requisite amounts as set forth below.</w:t>
      </w:r>
    </w:p>
    <w:p w14:paraId="0000000E" w14:textId="77777777" w:rsidR="00862D81" w:rsidRDefault="00000000">
      <w:pPr>
        <w:pBdr>
          <w:top w:val="none" w:sz="0" w:space="0" w:color="000000"/>
          <w:left w:val="none" w:sz="0" w:space="0" w:color="000000"/>
          <w:bottom w:val="none" w:sz="0" w:space="0" w:color="000000"/>
          <w:right w:val="none" w:sz="0" w:space="0" w:color="000000"/>
          <w:between w:val="none" w:sz="0" w:space="0" w:color="000000"/>
        </w:pBdr>
        <w:spacing w:after="240"/>
        <w:rPr>
          <w:color w:val="1B1C1D"/>
        </w:rPr>
      </w:pPr>
      <w:r>
        <w:rPr>
          <w:b/>
          <w:bCs/>
          <w:color w:val="1B1C1D"/>
        </w:rPr>
        <w:t>A. Non-Employee Directors</w:t>
      </w:r>
      <w:proofErr w:type="gramStart"/>
      <w:r>
        <w:rPr>
          <w:b/>
          <w:bCs/>
          <w:color w:val="1B1C1D"/>
        </w:rPr>
        <w:t xml:space="preserve">.  </w:t>
      </w:r>
      <w:proofErr w:type="gramEnd"/>
      <w:r>
        <w:rPr>
          <w:color w:val="1B1C1D"/>
        </w:rPr>
        <w:t xml:space="preserve">Each Non-Employee Director </w:t>
      </w:r>
      <w:proofErr w:type="gramStart"/>
      <w:r>
        <w:rPr>
          <w:color w:val="1B1C1D"/>
        </w:rPr>
        <w:t>is expected</w:t>
      </w:r>
      <w:proofErr w:type="gramEnd"/>
      <w:r>
        <w:rPr>
          <w:color w:val="1B1C1D"/>
        </w:rPr>
        <w:t xml:space="preserve"> to hold Common Stock with a value equal to at least five (5) times their annual cash retainer in connection with their Board and committee service.</w:t>
      </w:r>
    </w:p>
    <w:p w14:paraId="0000000F" w14:textId="77777777" w:rsidR="00862D81" w:rsidRDefault="00000000">
      <w:pPr>
        <w:pBdr>
          <w:top w:val="none" w:sz="0" w:space="0" w:color="000000"/>
          <w:left w:val="none" w:sz="0" w:space="0" w:color="000000"/>
          <w:bottom w:val="none" w:sz="0" w:space="0" w:color="000000"/>
          <w:right w:val="none" w:sz="0" w:space="0" w:color="000000"/>
          <w:between w:val="none" w:sz="0" w:space="0" w:color="000000"/>
        </w:pBdr>
        <w:rPr>
          <w:color w:val="1B1C1D"/>
        </w:rPr>
      </w:pPr>
      <w:r>
        <w:rPr>
          <w:b/>
          <w:bCs/>
          <w:color w:val="1B1C1D"/>
        </w:rPr>
        <w:t>B. Executives</w:t>
      </w:r>
      <w:proofErr w:type="gramStart"/>
      <w:r>
        <w:rPr>
          <w:b/>
          <w:bCs/>
          <w:color w:val="1B1C1D"/>
        </w:rPr>
        <w:t xml:space="preserve">.  </w:t>
      </w:r>
      <w:proofErr w:type="gramEnd"/>
      <w:r>
        <w:rPr>
          <w:color w:val="1B1C1D"/>
        </w:rPr>
        <w:t xml:space="preserve">Each Executive </w:t>
      </w:r>
      <w:proofErr w:type="gramStart"/>
      <w:r>
        <w:rPr>
          <w:color w:val="1B1C1D"/>
        </w:rPr>
        <w:t>is expected</w:t>
      </w:r>
      <w:proofErr w:type="gramEnd"/>
      <w:r>
        <w:rPr>
          <w:color w:val="1B1C1D"/>
        </w:rPr>
        <w:t xml:space="preserve"> to hold Common Stock with a value equal to at least a multiple of their annual base salary, as follows:</w:t>
      </w:r>
    </w:p>
    <w:p w14:paraId="00000010" w14:textId="77777777" w:rsidR="00862D81" w:rsidRDefault="00000000">
      <w:pPr>
        <w:numPr>
          <w:ilvl w:val="0"/>
          <w:numId w:val="2"/>
        </w:numPr>
        <w:pBdr>
          <w:top w:val="none" w:sz="0" w:space="0" w:color="000000"/>
          <w:bottom w:val="none" w:sz="0" w:space="0" w:color="000000"/>
          <w:right w:val="none" w:sz="0" w:space="0" w:color="000000"/>
          <w:between w:val="none" w:sz="0" w:space="0" w:color="000000"/>
        </w:pBdr>
      </w:pPr>
      <w:r>
        <w:rPr>
          <w:color w:val="1B1C1D"/>
        </w:rPr>
        <w:t>CEO</w:t>
      </w:r>
      <w:proofErr w:type="gramStart"/>
      <w:r>
        <w:rPr>
          <w:color w:val="1B1C1D"/>
        </w:rPr>
        <w:t xml:space="preserve">: </w:t>
      </w:r>
      <w:r>
        <w:rPr>
          <w:b/>
          <w:bCs/>
          <w:color w:val="1B1C1D"/>
        </w:rPr>
        <w:t xml:space="preserve"> </w:t>
      </w:r>
      <w:r>
        <w:rPr>
          <w:color w:val="1B1C1D"/>
        </w:rPr>
        <w:t>Five</w:t>
      </w:r>
      <w:proofErr w:type="gramEnd"/>
      <w:r>
        <w:rPr>
          <w:color w:val="1B1C1D"/>
        </w:rPr>
        <w:t xml:space="preserve"> (5) times respective annual base salary.</w:t>
      </w:r>
    </w:p>
    <w:p w14:paraId="00000011" w14:textId="77777777" w:rsidR="00862D81" w:rsidRDefault="00000000">
      <w:pPr>
        <w:numPr>
          <w:ilvl w:val="0"/>
          <w:numId w:val="2"/>
        </w:numPr>
        <w:pBdr>
          <w:top w:val="none" w:sz="0" w:space="0" w:color="000000"/>
          <w:bottom w:val="none" w:sz="0" w:space="0" w:color="000000"/>
          <w:right w:val="none" w:sz="0" w:space="0" w:color="000000"/>
          <w:between w:val="none" w:sz="0" w:space="0" w:color="000000"/>
        </w:pBdr>
      </w:pPr>
      <w:r>
        <w:rPr>
          <w:color w:val="1B1C1D"/>
        </w:rPr>
        <w:t>Chief Financial Officer</w:t>
      </w:r>
      <w:proofErr w:type="gramStart"/>
      <w:r>
        <w:rPr>
          <w:color w:val="1B1C1D"/>
        </w:rPr>
        <w:t>:  Three</w:t>
      </w:r>
      <w:proofErr w:type="gramEnd"/>
      <w:r>
        <w:rPr>
          <w:color w:val="1B1C1D"/>
        </w:rPr>
        <w:t xml:space="preserve"> (3) times respective annual base salary.</w:t>
      </w:r>
    </w:p>
    <w:p w14:paraId="00000012" w14:textId="77777777" w:rsidR="00862D81" w:rsidRDefault="00000000">
      <w:pPr>
        <w:numPr>
          <w:ilvl w:val="0"/>
          <w:numId w:val="2"/>
        </w:numPr>
        <w:pBdr>
          <w:top w:val="none" w:sz="0" w:space="0" w:color="000000"/>
          <w:bottom w:val="none" w:sz="0" w:space="0" w:color="000000"/>
          <w:right w:val="none" w:sz="0" w:space="0" w:color="000000"/>
          <w:between w:val="none" w:sz="0" w:space="0" w:color="000000"/>
        </w:pBdr>
        <w:spacing w:after="360"/>
      </w:pPr>
      <w:r>
        <w:rPr>
          <w:color w:val="1B1C1D"/>
        </w:rPr>
        <w:t>Other Executives</w:t>
      </w:r>
      <w:proofErr w:type="gramStart"/>
      <w:r>
        <w:rPr>
          <w:color w:val="1B1C1D"/>
        </w:rPr>
        <w:t>:  One</w:t>
      </w:r>
      <w:proofErr w:type="gramEnd"/>
      <w:r>
        <w:rPr>
          <w:color w:val="1B1C1D"/>
        </w:rPr>
        <w:t xml:space="preserve"> (1) times respective annual base salary.</w:t>
      </w:r>
    </w:p>
    <w:p w14:paraId="00000013" w14:textId="77777777" w:rsidR="00862D81" w:rsidRDefault="00000000">
      <w:pPr>
        <w:pBdr>
          <w:top w:val="none" w:sz="0" w:space="0" w:color="000000"/>
          <w:left w:val="none" w:sz="0" w:space="0" w:color="000000"/>
          <w:bottom w:val="none" w:sz="0" w:space="0" w:color="000000"/>
          <w:right w:val="none" w:sz="0" w:space="0" w:color="000000"/>
          <w:between w:val="none" w:sz="0" w:space="0" w:color="000000"/>
        </w:pBdr>
        <w:rPr>
          <w:b/>
          <w:bCs/>
          <w:color w:val="1B1C1D"/>
        </w:rPr>
      </w:pPr>
      <w:r>
        <w:rPr>
          <w:b/>
          <w:bCs/>
          <w:color w:val="1B1C1D"/>
        </w:rPr>
        <w:t>C. Type of Equity</w:t>
      </w:r>
      <w:proofErr w:type="gramStart"/>
      <w:r>
        <w:rPr>
          <w:b/>
          <w:bCs/>
          <w:color w:val="1B1C1D"/>
        </w:rPr>
        <w:t xml:space="preserve">.  </w:t>
      </w:r>
      <w:proofErr w:type="gramEnd"/>
      <w:r>
        <w:rPr>
          <w:color w:val="1B1C1D"/>
        </w:rPr>
        <w:t xml:space="preserve">Shares of Common Stock held beneficially for purposes of this Policy shall </w:t>
      </w:r>
      <w:proofErr w:type="gramStart"/>
      <w:r>
        <w:rPr>
          <w:color w:val="1B1C1D"/>
        </w:rPr>
        <w:t>be deemed</w:t>
      </w:r>
      <w:proofErr w:type="gramEnd"/>
      <w:r>
        <w:rPr>
          <w:color w:val="1B1C1D"/>
        </w:rPr>
        <w:t xml:space="preserve"> to include (a) outstanding shares of Common Stock, and (b) time-based restricted stock units (RSUs), whether vested or unvested</w:t>
      </w:r>
      <w:proofErr w:type="gramStart"/>
      <w:r>
        <w:rPr>
          <w:color w:val="1B1C1D"/>
        </w:rPr>
        <w:t xml:space="preserve">.  </w:t>
      </w:r>
      <w:proofErr w:type="gramEnd"/>
      <w:r>
        <w:rPr>
          <w:color w:val="1B1C1D"/>
        </w:rPr>
        <w:t xml:space="preserve">Neither unexcercised stock options, whether vested or unvested, nor performance based restricted stock units in which the number of shares that may vest in the future is dependent on various future </w:t>
      </w:r>
      <w:proofErr w:type="gramStart"/>
      <w:r>
        <w:rPr>
          <w:color w:val="1B1C1D"/>
        </w:rPr>
        <w:t>performance based</w:t>
      </w:r>
      <w:proofErr w:type="gramEnd"/>
      <w:r>
        <w:rPr>
          <w:color w:val="1B1C1D"/>
        </w:rPr>
        <w:t xml:space="preserve"> requirements, shall be included</w:t>
      </w:r>
      <w:proofErr w:type="gramStart"/>
      <w:r>
        <w:rPr>
          <w:color w:val="1B1C1D"/>
        </w:rPr>
        <w:t xml:space="preserve">.  </w:t>
      </w:r>
      <w:proofErr w:type="gramEnd"/>
      <w:r>
        <w:rPr>
          <w:color w:val="1B1C1D"/>
        </w:rPr>
        <w:t xml:space="preserve"> </w:t>
      </w:r>
    </w:p>
    <w:p w14:paraId="00000014" w14:textId="77777777" w:rsidR="00862D81" w:rsidRDefault="00862D81">
      <w:pPr>
        <w:pBdr>
          <w:top w:val="none" w:sz="0" w:space="0" w:color="000000"/>
          <w:left w:val="none" w:sz="0" w:space="0" w:color="000000"/>
          <w:bottom w:val="none" w:sz="0" w:space="0" w:color="000000"/>
          <w:right w:val="none" w:sz="0" w:space="0" w:color="000000"/>
          <w:between w:val="none" w:sz="0" w:space="0" w:color="000000"/>
        </w:pBdr>
        <w:rPr>
          <w:b/>
          <w:bCs/>
          <w:color w:val="1B1C1D"/>
        </w:rPr>
      </w:pPr>
    </w:p>
    <w:p w14:paraId="00000015" w14:textId="77777777" w:rsidR="00862D81" w:rsidRDefault="00000000">
      <w:pPr>
        <w:pBdr>
          <w:top w:val="none" w:sz="0" w:space="0" w:color="000000"/>
          <w:left w:val="none" w:sz="0" w:space="0" w:color="000000"/>
          <w:bottom w:val="none" w:sz="0" w:space="0" w:color="000000"/>
          <w:right w:val="none" w:sz="0" w:space="0" w:color="000000"/>
          <w:between w:val="none" w:sz="0" w:space="0" w:color="000000"/>
        </w:pBdr>
        <w:spacing w:after="240"/>
        <w:rPr>
          <w:color w:val="1B1C1D"/>
        </w:rPr>
      </w:pPr>
      <w:r>
        <w:rPr>
          <w:b/>
          <w:bCs/>
          <w:color w:val="1B1C1D"/>
        </w:rPr>
        <w:lastRenderedPageBreak/>
        <w:t>D. Compliance Period Effective Date.</w:t>
      </w:r>
      <w:r>
        <w:rPr>
          <w:color w:val="1B1C1D"/>
        </w:rPr>
        <w:t xml:space="preserve"> Each covered person will have a period of five (5) years from the later of (a) the effective date of this Policy, or (b) the date they first become subject to this policy (e.g., date of appointment as a Non-Employee Director, or hiring or promotion to an Executive position) to achieve the applicable ownership thresholds set forth in Section 3.A. or 3.B.  </w:t>
      </w:r>
    </w:p>
    <w:p w14:paraId="00000016" w14:textId="77777777" w:rsidR="00862D81" w:rsidRDefault="00000000">
      <w:pPr>
        <w:pBdr>
          <w:top w:val="none" w:sz="0" w:space="0" w:color="000000"/>
          <w:left w:val="none" w:sz="0" w:space="0" w:color="000000"/>
          <w:bottom w:val="none" w:sz="0" w:space="0" w:color="000000"/>
          <w:right w:val="none" w:sz="0" w:space="0" w:color="000000"/>
          <w:between w:val="none" w:sz="0" w:space="0" w:color="000000"/>
        </w:pBdr>
        <w:spacing w:after="240"/>
        <w:rPr>
          <w:color w:val="1B1C1D"/>
        </w:rPr>
      </w:pPr>
      <w:r>
        <w:rPr>
          <w:color w:val="1B1C1D"/>
        </w:rPr>
        <w:t>If a person's ownership requirement increases due to a change in position, or an increase in their annual cash retainer for Non-Employee Directors or annual base salary for the CEO and other Executives, they will have an additional three (3) years from the effective date of such change to meet the higher ownership requirement, or the remainder of their original five-year compliance period, whichever is later.</w:t>
      </w:r>
    </w:p>
    <w:p w14:paraId="00000017" w14:textId="66231A51" w:rsidR="00862D81" w:rsidRDefault="00000000">
      <w:pPr>
        <w:pBdr>
          <w:top w:val="none" w:sz="0" w:space="0" w:color="000000"/>
          <w:left w:val="none" w:sz="0" w:space="0" w:color="000000"/>
          <w:bottom w:val="none" w:sz="0" w:space="0" w:color="000000"/>
          <w:right w:val="none" w:sz="0" w:space="0" w:color="000000"/>
          <w:between w:val="none" w:sz="0" w:space="0" w:color="000000"/>
        </w:pBdr>
        <w:spacing w:after="240"/>
        <w:rPr>
          <w:b/>
          <w:bCs/>
          <w:color w:val="1B1C1D"/>
        </w:rPr>
      </w:pPr>
      <w:r>
        <w:rPr>
          <w:b/>
          <w:bCs/>
          <w:color w:val="1B1C1D"/>
        </w:rPr>
        <w:t>E. Share Retention Requirement.</w:t>
      </w:r>
      <w:r>
        <w:rPr>
          <w:color w:val="1B1C1D"/>
        </w:rPr>
        <w:t xml:space="preserve"> If, at the time of any proposed sale or other transfer of Common Stock, a covered person has not satisfied, or does not continue to satisfy, the applicable ownership thresholds set forth in Section 3.A. or 3.B. (whether during the Compliance Period Effective Date set forth in Section 3.D. or at any time after having previously satisfied such thresholds), such covered person shall be required to retain one hundred percent (100%) of the "Net Shares" acquired upon the vesting of RSUs or restricted stock, until such time as the covered person again satisfies the applicable ownership thresholds. “Net Shares” means the shares remaining after deducting shares withheld or sold for the payment of taxes in connection with such vesting event. This Share Retention Requirement will not require the termination of any Rule 10b5-1 trading plan already in effect at the time the covered person falls out of compliance; any such plan may continue to operate in accordance with its terms. So long as the applicable Stock Ownership Requirements set forth in Section 3.A. or </w:t>
      </w:r>
      <w:proofErr w:type="gramStart"/>
      <w:r>
        <w:rPr>
          <w:color w:val="1B1C1D"/>
        </w:rPr>
        <w:t>3</w:t>
      </w:r>
      <w:proofErr w:type="gramEnd"/>
      <w:r>
        <w:rPr>
          <w:color w:val="1B1C1D"/>
        </w:rPr>
        <w:t xml:space="preserve">.B. continue to </w:t>
      </w:r>
      <w:proofErr w:type="gramStart"/>
      <w:r>
        <w:rPr>
          <w:color w:val="1B1C1D"/>
        </w:rPr>
        <w:t>be met</w:t>
      </w:r>
      <w:proofErr w:type="gramEnd"/>
      <w:r>
        <w:rPr>
          <w:color w:val="1B1C1D"/>
        </w:rPr>
        <w:t xml:space="preserve">, the Share Retention Requirement will not apply </w:t>
      </w:r>
      <w:proofErr w:type="gramStart"/>
      <w:r>
        <w:rPr>
          <w:color w:val="1B1C1D"/>
        </w:rPr>
        <w:t>for</w:t>
      </w:r>
      <w:proofErr w:type="gramEnd"/>
      <w:r>
        <w:rPr>
          <w:color w:val="1B1C1D"/>
        </w:rPr>
        <w:t xml:space="preserve"> the applicable covered person.</w:t>
      </w:r>
    </w:p>
    <w:p w14:paraId="00000018" w14:textId="77777777" w:rsidR="00862D81" w:rsidRDefault="00000000">
      <w:pPr>
        <w:pBdr>
          <w:top w:val="none" w:sz="0" w:space="0" w:color="000000"/>
          <w:left w:val="none" w:sz="0" w:space="0" w:color="000000"/>
          <w:bottom w:val="none" w:sz="0" w:space="0" w:color="000000"/>
          <w:right w:val="none" w:sz="0" w:space="0" w:color="000000"/>
          <w:between w:val="none" w:sz="0" w:space="0" w:color="000000"/>
        </w:pBdr>
        <w:spacing w:after="240"/>
        <w:rPr>
          <w:b/>
          <w:bCs/>
          <w:color w:val="1B1C1D"/>
        </w:rPr>
      </w:pPr>
      <w:r>
        <w:rPr>
          <w:b/>
          <w:bCs/>
          <w:color w:val="1B1C1D"/>
        </w:rPr>
        <w:t>4. Administration and Monitoring</w:t>
      </w:r>
    </w:p>
    <w:p w14:paraId="00000019" w14:textId="77777777" w:rsidR="00862D81" w:rsidRDefault="00000000">
      <w:pPr>
        <w:pBdr>
          <w:top w:val="none" w:sz="0" w:space="0" w:color="000000"/>
          <w:left w:val="none" w:sz="0" w:space="0" w:color="000000"/>
          <w:bottom w:val="none" w:sz="0" w:space="0" w:color="000000"/>
          <w:right w:val="none" w:sz="0" w:space="0" w:color="000000"/>
          <w:between w:val="none" w:sz="0" w:space="0" w:color="000000"/>
        </w:pBdr>
        <w:spacing w:after="240"/>
        <w:rPr>
          <w:color w:val="1B1C1D"/>
        </w:rPr>
      </w:pPr>
      <w:r>
        <w:rPr>
          <w:color w:val="1B1C1D"/>
        </w:rPr>
        <w:t>The Compensation Committee of the Board will be responsible for overseeing and administering this policy</w:t>
      </w:r>
      <w:proofErr w:type="gramStart"/>
      <w:r>
        <w:rPr>
          <w:color w:val="1B1C1D"/>
        </w:rPr>
        <w:t xml:space="preserve">.  </w:t>
      </w:r>
      <w:proofErr w:type="gramEnd"/>
      <w:r>
        <w:rPr>
          <w:color w:val="1B1C1D"/>
        </w:rPr>
        <w:t xml:space="preserve">Compliance with this policy will </w:t>
      </w:r>
      <w:proofErr w:type="gramStart"/>
      <w:r>
        <w:rPr>
          <w:color w:val="1B1C1D"/>
        </w:rPr>
        <w:t>be reviewed</w:t>
      </w:r>
      <w:proofErr w:type="gramEnd"/>
      <w:r>
        <w:rPr>
          <w:color w:val="1B1C1D"/>
        </w:rPr>
        <w:t xml:space="preserve"> at least annually with the Compensation Committee and </w:t>
      </w:r>
      <w:proofErr w:type="gramStart"/>
      <w:r>
        <w:rPr>
          <w:color w:val="1B1C1D"/>
        </w:rPr>
        <w:t>persons</w:t>
      </w:r>
      <w:proofErr w:type="gramEnd"/>
      <w:r>
        <w:rPr>
          <w:color w:val="1B1C1D"/>
        </w:rPr>
        <w:t xml:space="preserve"> subject to this policy</w:t>
      </w:r>
      <w:proofErr w:type="gramStart"/>
      <w:r>
        <w:rPr>
          <w:color w:val="1B1C1D"/>
        </w:rPr>
        <w:t xml:space="preserve">.  </w:t>
      </w:r>
      <w:proofErr w:type="gramEnd"/>
      <w:r>
        <w:rPr>
          <w:color w:val="1B1C1D"/>
        </w:rPr>
        <w:t xml:space="preserve">In addition, compliance will be </w:t>
      </w:r>
      <w:proofErr w:type="gramStart"/>
      <w:r>
        <w:rPr>
          <w:color w:val="1B1C1D"/>
        </w:rPr>
        <w:t>tested</w:t>
      </w:r>
      <w:proofErr w:type="gramEnd"/>
      <w:r>
        <w:rPr>
          <w:color w:val="1B1C1D"/>
        </w:rPr>
        <w:t xml:space="preserve"> on a quarterly basis, timed shortly before each quarterly RSU or restricted stock vesting date, and at the time of any proposed sale or other transaction not made pursuant to a previously pre-cleared Rule 10b5-1 trading plan</w:t>
      </w:r>
      <w:proofErr w:type="gramStart"/>
      <w:r>
        <w:rPr>
          <w:color w:val="1B1C1D"/>
        </w:rPr>
        <w:t xml:space="preserve">.  </w:t>
      </w:r>
      <w:proofErr w:type="gramEnd"/>
      <w:r>
        <w:rPr>
          <w:color w:val="1B1C1D"/>
        </w:rPr>
        <w:t xml:space="preserve">The Company’s insider trading pre-clearance procedures shall include a check of compliance with this Policy. </w:t>
      </w:r>
      <w:proofErr w:type="gramStart"/>
      <w:r>
        <w:rPr>
          <w:color w:val="1B1C1D"/>
        </w:rPr>
        <w:t>Persons</w:t>
      </w:r>
      <w:proofErr w:type="gramEnd"/>
      <w:r>
        <w:rPr>
          <w:color w:val="1B1C1D"/>
        </w:rPr>
        <w:t xml:space="preserve"> subject to this policy </w:t>
      </w:r>
      <w:proofErr w:type="gramStart"/>
      <w:r>
        <w:rPr>
          <w:color w:val="1B1C1D"/>
        </w:rPr>
        <w:t>shall</w:t>
      </w:r>
      <w:proofErr w:type="gramEnd"/>
      <w:r>
        <w:rPr>
          <w:color w:val="1B1C1D"/>
        </w:rPr>
        <w:t xml:space="preserve"> be mindful of the applicable thresholds when determining to sell shares of Common Stock</w:t>
      </w:r>
      <w:proofErr w:type="gramStart"/>
      <w:r>
        <w:rPr>
          <w:color w:val="1B1C1D"/>
        </w:rPr>
        <w:t xml:space="preserve">.  </w:t>
      </w:r>
      <w:proofErr w:type="gramEnd"/>
      <w:r>
        <w:rPr>
          <w:color w:val="1B1C1D"/>
        </w:rPr>
        <w:t>For purposes of determining compliance with these guidelines, the value of the Common Stock will be calculated based on the higher of the closing price of the Common Stock on The Nasdaq Stock Market one week prior to the review date or the average closing price of the Common Stock on The Nasdaq Stock Market for the one hundred twenty (120) trading days preceding the date one week prior to the review date.</w:t>
      </w:r>
    </w:p>
    <w:p w14:paraId="0000001A" w14:textId="77777777" w:rsidR="00862D81" w:rsidRDefault="00000000">
      <w:pPr>
        <w:pBdr>
          <w:top w:val="none" w:sz="0" w:space="0" w:color="000000"/>
          <w:left w:val="none" w:sz="0" w:space="0" w:color="000000"/>
          <w:bottom w:val="none" w:sz="0" w:space="0" w:color="000000"/>
          <w:right w:val="none" w:sz="0" w:space="0" w:color="000000"/>
          <w:between w:val="none" w:sz="0" w:space="0" w:color="000000"/>
        </w:pBdr>
        <w:spacing w:after="240"/>
        <w:rPr>
          <w:color w:val="1B1C1D"/>
        </w:rPr>
      </w:pPr>
      <w:r>
        <w:rPr>
          <w:color w:val="1B1C1D"/>
        </w:rPr>
        <w:t xml:space="preserve">For clarity and without limiting Section 3.E, a covered person shall neither </w:t>
      </w:r>
      <w:proofErr w:type="gramStart"/>
      <w:r>
        <w:rPr>
          <w:color w:val="1B1C1D"/>
        </w:rPr>
        <w:t>be deemed</w:t>
      </w:r>
      <w:proofErr w:type="gramEnd"/>
      <w:r>
        <w:rPr>
          <w:color w:val="1B1C1D"/>
        </w:rPr>
        <w:t xml:space="preserve"> out of compliance with this policy nor </w:t>
      </w:r>
      <w:proofErr w:type="gramStart"/>
      <w:r>
        <w:rPr>
          <w:color w:val="1B1C1D"/>
        </w:rPr>
        <w:t>be required</w:t>
      </w:r>
      <w:proofErr w:type="gramEnd"/>
      <w:r>
        <w:rPr>
          <w:color w:val="1B1C1D"/>
        </w:rPr>
        <w:t xml:space="preserve"> to purchase shares of Common Stock in the open market solely due to a decline in the price of the Common Stock. </w:t>
      </w:r>
    </w:p>
    <w:p w14:paraId="0000001B" w14:textId="77777777" w:rsidR="00862D81" w:rsidRDefault="00000000">
      <w:pPr>
        <w:pBdr>
          <w:top w:val="none" w:sz="0" w:space="0" w:color="000000"/>
          <w:left w:val="none" w:sz="0" w:space="0" w:color="000000"/>
          <w:bottom w:val="none" w:sz="0" w:space="0" w:color="000000"/>
          <w:right w:val="none" w:sz="0" w:space="0" w:color="000000"/>
          <w:between w:val="none" w:sz="0" w:space="0" w:color="000000"/>
        </w:pBdr>
        <w:spacing w:after="240"/>
        <w:rPr>
          <w:color w:val="1B1C1D"/>
        </w:rPr>
      </w:pPr>
      <w:r>
        <w:rPr>
          <w:color w:val="1B1C1D"/>
        </w:rPr>
        <w:lastRenderedPageBreak/>
        <w:t xml:space="preserve">The Compensation Committee may grant extensions and other exceptions to this policy in cases of hardship, significant stock price </w:t>
      </w:r>
      <w:proofErr w:type="gramStart"/>
      <w:r>
        <w:rPr>
          <w:color w:val="1B1C1D"/>
        </w:rPr>
        <w:t>volatility</w:t>
      </w:r>
      <w:proofErr w:type="gramEnd"/>
      <w:r>
        <w:rPr>
          <w:color w:val="1B1C1D"/>
        </w:rPr>
        <w:t xml:space="preserve"> or other </w:t>
      </w:r>
      <w:proofErr w:type="gramStart"/>
      <w:r>
        <w:rPr>
          <w:color w:val="1B1C1D"/>
        </w:rPr>
        <w:t>special circumstances</w:t>
      </w:r>
      <w:proofErr w:type="gramEnd"/>
      <w:r>
        <w:rPr>
          <w:color w:val="1B1C1D"/>
        </w:rPr>
        <w:t>, as determined in its sole discretion.</w:t>
      </w:r>
    </w:p>
    <w:p w14:paraId="0000001C" w14:textId="77777777" w:rsidR="00862D81" w:rsidRDefault="00862D81"/>
    <w:sectPr w:rsidR="00862D81">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1BA42902-B5D4-42FE-AA02-20276C45C663}"/>
  </w:font>
  <w:font w:name="Cambria">
    <w:panose1 w:val="02040503050406030204"/>
    <w:charset w:val="00"/>
    <w:family w:val="roman"/>
    <w:pitch w:val="variable"/>
    <w:sig w:usb0="E00006FF" w:usb1="420024FF" w:usb2="02000000" w:usb3="00000000" w:csb0="0000019F" w:csb1="00000000"/>
    <w:embedRegular r:id="rId2" w:fontKey="{68644921-49B1-4287-A870-48FE546899F4}"/>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C37D4C"/>
    <w:multiLevelType w:val="multilevel"/>
    <w:tmpl w:val="2C72A186"/>
    <w:lvl w:ilvl="0">
      <w:start w:val="1"/>
      <w:numFmt w:val="bullet"/>
      <w:lvlText w:val="●"/>
      <w:lvlJc w:val="left"/>
      <w:pPr>
        <w:ind w:left="720" w:hanging="360"/>
      </w:pPr>
      <w:rPr>
        <w:rFonts w:ascii="Arial" w:eastAsia="Arial" w:hAnsi="Arial" w:cs="Arial"/>
        <w:color w:val="1B1C1D"/>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9D264E3"/>
    <w:multiLevelType w:val="multilevel"/>
    <w:tmpl w:val="6182566E"/>
    <w:lvl w:ilvl="0">
      <w:start w:val="1"/>
      <w:numFmt w:val="bullet"/>
      <w:lvlText w:val="●"/>
      <w:lvlJc w:val="left"/>
      <w:pPr>
        <w:ind w:left="720" w:hanging="360"/>
      </w:pPr>
      <w:rPr>
        <w:rFonts w:ascii="Arial" w:eastAsia="Arial" w:hAnsi="Arial" w:cs="Arial"/>
        <w:color w:val="1B1C1D"/>
        <w:u w:val="none"/>
      </w:rPr>
    </w:lvl>
    <w:lvl w:ilvl="1">
      <w:start w:val="1"/>
      <w:numFmt w:val="bullet"/>
      <w:lvlText w:val="○"/>
      <w:lvlJc w:val="left"/>
      <w:pPr>
        <w:ind w:left="1440" w:hanging="360"/>
      </w:pPr>
      <w:rPr>
        <w:rFonts w:ascii="Arial" w:eastAsia="Arial" w:hAnsi="Arial" w:cs="Arial"/>
        <w:color w:val="1B1C1D"/>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828250559">
    <w:abstractNumId w:val="0"/>
  </w:num>
  <w:num w:numId="2" w16cid:durableId="15268635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2D81"/>
    <w:rsid w:val="00181F05"/>
    <w:rsid w:val="006466EE"/>
    <w:rsid w:val="00754DFC"/>
    <w:rsid w:val="00862D81"/>
    <w:rsid w:val="00877643"/>
    <w:rsid w:val="00DA5C15"/>
    <w:rsid w:val="00F650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38BF49E-11B0-4A76-B83A-90E733E74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876</Words>
  <Characters>4999</Characters>
  <Application>Microsoft Office Word</Application>
  <DocSecurity>0</DocSecurity>
  <Lines>41</Lines>
  <Paragraphs>11</Paragraphs>
  <ScaleCrop>false</ScaleCrop>
  <Company/>
  <LinksUpToDate>false</LinksUpToDate>
  <CharactersWithSpaces>5864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Lindsey Fish</dc:creator>
  <cp:lastModifiedBy>Jim Berklas</cp:lastModifiedBy>
  <cp:revision>2</cp:revision>
  <dcterms:created xsi:type="dcterms:W3CDTF">2026-09-29T17:59:00Z</dcterms:created>
  <dcterms:modified xsi:type="dcterms:W3CDTF">2026-09-29T17:59:00Z</dcterms:modified>
</cp:coreProperties>
</file>