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28E72" w14:textId="77777777" w:rsidR="000C2ACD" w:rsidRDefault="000C2ACD" w:rsidP="004D4F16">
      <w:pPr>
        <w:jc w:val="center"/>
        <w:rPr>
          <w:color w:val="000000"/>
          <w:u w:val="single"/>
        </w:rPr>
      </w:pPr>
    </w:p>
    <w:p w14:paraId="162C8C51" w14:textId="77777777" w:rsidR="000C2ACD" w:rsidRDefault="000C2ACD" w:rsidP="004D4F16">
      <w:pPr>
        <w:jc w:val="center"/>
        <w:rPr>
          <w:color w:val="000000"/>
          <w:u w:val="single"/>
        </w:rPr>
      </w:pPr>
    </w:p>
    <w:p w14:paraId="29F6F970" w14:textId="3FCF7E49" w:rsidR="004D4F16" w:rsidRPr="004D24C0" w:rsidRDefault="004D4F16" w:rsidP="004D4F16">
      <w:pPr>
        <w:jc w:val="center"/>
        <w:rPr>
          <w:color w:val="000000"/>
          <w:u w:val="single"/>
        </w:rPr>
      </w:pPr>
      <w:r w:rsidRPr="004D24C0">
        <w:rPr>
          <w:color w:val="000000"/>
          <w:u w:val="single"/>
        </w:rPr>
        <w:t>PRESS RELEASE</w:t>
      </w:r>
    </w:p>
    <w:p w14:paraId="700A7C82" w14:textId="05ECA4E8" w:rsidR="004D4F16" w:rsidRPr="00791236" w:rsidRDefault="004D4F16" w:rsidP="004D4F16">
      <w:pPr>
        <w:rPr>
          <w:color w:val="000000"/>
        </w:rPr>
      </w:pPr>
    </w:p>
    <w:p w14:paraId="627F1D83" w14:textId="77777777" w:rsidR="0031718B" w:rsidRPr="00B20147" w:rsidRDefault="0031718B" w:rsidP="004D4F16">
      <w:pPr>
        <w:rPr>
          <w:color w:val="000000"/>
        </w:rPr>
      </w:pPr>
    </w:p>
    <w:p w14:paraId="7B0F0EA7" w14:textId="5428F007" w:rsidR="004D4F16" w:rsidRPr="0070397B" w:rsidRDefault="004D4F16" w:rsidP="004D4F16">
      <w:pPr>
        <w:rPr>
          <w:rFonts w:ascii="Arial" w:hAnsi="Arial" w:cs="Arial"/>
          <w:color w:val="000000"/>
        </w:rPr>
      </w:pPr>
      <w:r w:rsidRPr="0070397B">
        <w:rPr>
          <w:rFonts w:ascii="Arial" w:hAnsi="Arial" w:cs="Arial"/>
          <w:color w:val="000000"/>
          <w:u w:val="single"/>
        </w:rPr>
        <w:t>C</w:t>
      </w:r>
      <w:r w:rsidR="004D24C0" w:rsidRPr="0070397B">
        <w:rPr>
          <w:rFonts w:ascii="Arial" w:hAnsi="Arial" w:cs="Arial"/>
          <w:color w:val="000000"/>
          <w:u w:val="single"/>
        </w:rPr>
        <w:t>ontact</w:t>
      </w:r>
      <w:r w:rsidRPr="0070397B">
        <w:rPr>
          <w:rFonts w:ascii="Arial" w:hAnsi="Arial" w:cs="Arial"/>
          <w:color w:val="000000"/>
        </w:rPr>
        <w:t>:</w:t>
      </w:r>
    </w:p>
    <w:p w14:paraId="24277F92" w14:textId="2902C92B" w:rsidR="004D24C0" w:rsidRPr="0070397B" w:rsidRDefault="001B1B78" w:rsidP="004D4F16">
      <w:pPr>
        <w:rPr>
          <w:rFonts w:ascii="Arial" w:hAnsi="Arial" w:cs="Arial"/>
          <w:color w:val="000000"/>
        </w:rPr>
      </w:pPr>
      <w:r w:rsidRPr="0070397B">
        <w:rPr>
          <w:rFonts w:ascii="Arial" w:hAnsi="Arial" w:cs="Arial"/>
          <w:color w:val="000000"/>
        </w:rPr>
        <w:t>Christopher S. Ferris</w:t>
      </w:r>
    </w:p>
    <w:p w14:paraId="0BB210E3" w14:textId="465FFCC1" w:rsidR="004D4F16" w:rsidRPr="0070397B" w:rsidRDefault="004D4F16" w:rsidP="004D4F16">
      <w:pPr>
        <w:rPr>
          <w:rFonts w:ascii="Arial" w:hAnsi="Arial" w:cs="Arial"/>
          <w:color w:val="000000"/>
        </w:rPr>
      </w:pPr>
      <w:r w:rsidRPr="0070397B">
        <w:rPr>
          <w:rFonts w:ascii="Arial" w:hAnsi="Arial" w:cs="Arial"/>
          <w:color w:val="000000"/>
        </w:rPr>
        <w:t>President</w:t>
      </w:r>
      <w:r w:rsidR="001B1446" w:rsidRPr="0070397B">
        <w:rPr>
          <w:rFonts w:ascii="Arial" w:hAnsi="Arial" w:cs="Arial"/>
          <w:color w:val="000000"/>
        </w:rPr>
        <w:t xml:space="preserve"> and</w:t>
      </w:r>
      <w:r w:rsidRPr="0070397B">
        <w:rPr>
          <w:rFonts w:ascii="Arial" w:hAnsi="Arial" w:cs="Arial"/>
          <w:color w:val="000000"/>
        </w:rPr>
        <w:t xml:space="preserve"> Chief Executive Officer</w:t>
      </w:r>
    </w:p>
    <w:p w14:paraId="28814EFF" w14:textId="4562CCA2" w:rsidR="004D4F16" w:rsidRPr="0070397B" w:rsidRDefault="00B20147" w:rsidP="004D4F16">
      <w:pPr>
        <w:rPr>
          <w:rFonts w:ascii="Arial" w:hAnsi="Arial" w:cs="Arial"/>
          <w:i/>
        </w:rPr>
      </w:pPr>
      <w:r w:rsidRPr="0070397B">
        <w:rPr>
          <w:rFonts w:ascii="Arial" w:hAnsi="Arial" w:cs="Arial"/>
          <w:color w:val="000000"/>
        </w:rPr>
        <w:t>(</w:t>
      </w:r>
      <w:r w:rsidR="001B1446" w:rsidRPr="0070397B">
        <w:rPr>
          <w:rFonts w:ascii="Arial" w:hAnsi="Arial" w:cs="Arial"/>
          <w:color w:val="000000"/>
        </w:rPr>
        <w:t>504</w:t>
      </w:r>
      <w:r w:rsidRPr="0070397B">
        <w:rPr>
          <w:rFonts w:ascii="Arial" w:hAnsi="Arial" w:cs="Arial"/>
          <w:color w:val="000000"/>
        </w:rPr>
        <w:t xml:space="preserve">) </w:t>
      </w:r>
      <w:r w:rsidR="000C2ACD" w:rsidRPr="0070397B">
        <w:rPr>
          <w:rFonts w:ascii="Arial" w:hAnsi="Arial" w:cs="Arial"/>
          <w:color w:val="000000"/>
        </w:rPr>
        <w:t>569-8460</w:t>
      </w:r>
    </w:p>
    <w:p w14:paraId="33FB0303" w14:textId="77777777" w:rsidR="00734DA5" w:rsidRPr="0070397B" w:rsidRDefault="00734DA5" w:rsidP="00734DA5">
      <w:pPr>
        <w:widowControl w:val="0"/>
        <w:jc w:val="both"/>
        <w:rPr>
          <w:rFonts w:ascii="Arial" w:hAnsi="Arial" w:cs="Arial"/>
        </w:rPr>
      </w:pPr>
    </w:p>
    <w:p w14:paraId="4297A4EB" w14:textId="77777777" w:rsidR="0070397B" w:rsidRPr="0070397B" w:rsidRDefault="0070397B" w:rsidP="0070397B">
      <w:pPr>
        <w:pStyle w:val="NormalWeb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242424"/>
        </w:rPr>
      </w:pPr>
      <w:r w:rsidRPr="0070397B">
        <w:rPr>
          <w:rFonts w:ascii="Arial" w:hAnsi="Arial" w:cs="Arial"/>
          <w:b/>
          <w:bCs/>
          <w:color w:val="000000"/>
          <w:bdr w:val="none" w:sz="0" w:space="0" w:color="auto" w:frame="1"/>
        </w:rPr>
        <w:t>FB Bancorp, Inc.  Announces Fourth Quarter and the Year 2025 Financial Results</w:t>
      </w:r>
    </w:p>
    <w:p w14:paraId="4E9EA4D6" w14:textId="77777777" w:rsidR="0070397B" w:rsidRPr="0070397B" w:rsidRDefault="0070397B" w:rsidP="0070397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 w:rsidRPr="0070397B">
        <w:rPr>
          <w:rFonts w:ascii="Arial" w:hAnsi="Arial" w:cs="Arial"/>
          <w:color w:val="000000"/>
          <w:bdr w:val="none" w:sz="0" w:space="0" w:color="auto" w:frame="1"/>
        </w:rPr>
        <w:t> </w:t>
      </w:r>
    </w:p>
    <w:p w14:paraId="2B12993E" w14:textId="7D8ECFC9" w:rsidR="0070397B" w:rsidRPr="0070397B" w:rsidRDefault="0070397B" w:rsidP="0070397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 w:rsidRPr="0070397B">
        <w:rPr>
          <w:rFonts w:ascii="Arial" w:hAnsi="Arial" w:cs="Arial"/>
          <w:b/>
          <w:bCs/>
          <w:color w:val="000000"/>
          <w:bdr w:val="none" w:sz="0" w:space="0" w:color="auto" w:frame="1"/>
        </w:rPr>
        <w:t>New Orleans, Louisiana, February 18, 2026 --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> FB Bancorp, Inc. (NASDAQ: “FBLA”) (the “Company”), the</w:t>
      </w:r>
      <w:r w:rsidRPr="0070397B"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>holding company for Fidelity Bank (the “Bank”), today announced net income for the year ended December 31,</w:t>
      </w:r>
      <w:r w:rsidRPr="0070397B"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>2025 of $1.3 million, comprised of net income from continuing operations of $3.9 million and a net loss from</w:t>
      </w:r>
      <w:r w:rsidRPr="0070397B"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>discontinued operations of $2.7 million. On January 5, 2026, Fidelity Bank announced its execution of a</w:t>
      </w:r>
      <w:r w:rsidRPr="0070397B"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 xml:space="preserve">purchase agreement to sell substantially </w:t>
      </w:r>
      <w:proofErr w:type="gramStart"/>
      <w:r w:rsidRPr="0070397B">
        <w:rPr>
          <w:rFonts w:ascii="Arial" w:hAnsi="Arial" w:cs="Arial"/>
          <w:color w:val="000000"/>
          <w:bdr w:val="none" w:sz="0" w:space="0" w:color="auto" w:frame="1"/>
        </w:rPr>
        <w:t>all of</w:t>
      </w:r>
      <w:proofErr w:type="gramEnd"/>
      <w:r w:rsidRPr="0070397B">
        <w:rPr>
          <w:rFonts w:ascii="Arial" w:hAnsi="Arial" w:cs="Arial"/>
          <w:color w:val="000000"/>
          <w:bdr w:val="none" w:sz="0" w:space="0" w:color="auto" w:frame="1"/>
        </w:rPr>
        <w:t xml:space="preserve"> the assets and liabilities of the Bank's mortgage banking segment,</w:t>
      </w:r>
      <w:r w:rsidRPr="0070397B"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>NOLA Lending Group. The closing date of this transaction is anticipated to be February 28, 2026. This</w:t>
      </w:r>
      <w:r w:rsidRPr="0070397B"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>transaction allows the Bank to exit a business segment with a 2025 annual net loss of approximately $2.7</w:t>
      </w:r>
      <w:r w:rsidRPr="0070397B"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>million and reduce total employees by approximately 108 individuals. For the year ended December 31, 2024,</w:t>
      </w:r>
      <w:r w:rsidRPr="0070397B"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>the Company had a net loss of $6.2 million, comprised of net income from continuing operations of $1.5</w:t>
      </w:r>
      <w:r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>million and a net loss from discontinued operations of $7.7 million. A goodwill impairment of $5.8 million,</w:t>
      </w:r>
      <w:r w:rsidRPr="0070397B"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>recognized in December 2024, was a significant reason for the 2024 loss from discontinued operations of $7.7</w:t>
      </w:r>
      <w:r w:rsidRPr="0070397B"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>million. For the three months ended December 31, 2025, the Company had a net loss of $1.4 million,</w:t>
      </w:r>
      <w:r w:rsidRPr="0070397B"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>comprised of net income from continuing operations of $528 thousand and a net loss from discontinued</w:t>
      </w:r>
      <w:r w:rsidRPr="0070397B"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>operations of $1.9 million. For the same three-month period ended December 31, 2024, the Company had a net</w:t>
      </w:r>
      <w:r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>loss of $5.4 million, comprised of net income from continuing operations of $1.5 million and a net loss from</w:t>
      </w:r>
      <w:r w:rsidRPr="0070397B"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>discontinued operations of $6.8 million.</w:t>
      </w:r>
    </w:p>
    <w:p w14:paraId="038DB864" w14:textId="77777777" w:rsidR="0070397B" w:rsidRPr="0070397B" w:rsidRDefault="0070397B" w:rsidP="0070397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 w:rsidRPr="0070397B">
        <w:rPr>
          <w:rFonts w:ascii="Arial" w:hAnsi="Arial" w:cs="Arial"/>
          <w:color w:val="000000"/>
          <w:bdr w:val="none" w:sz="0" w:space="0" w:color="auto" w:frame="1"/>
        </w:rPr>
        <w:t> </w:t>
      </w:r>
    </w:p>
    <w:p w14:paraId="3630248B" w14:textId="532AA549" w:rsidR="0070397B" w:rsidRPr="0070397B" w:rsidRDefault="0070397B" w:rsidP="0070397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242424"/>
        </w:rPr>
      </w:pPr>
      <w:r w:rsidRPr="0070397B">
        <w:rPr>
          <w:rFonts w:ascii="Arial" w:hAnsi="Arial" w:cs="Arial"/>
          <w:color w:val="000000"/>
          <w:bdr w:val="none" w:sz="0" w:space="0" w:color="auto" w:frame="1"/>
        </w:rPr>
        <w:t>The Company is a Maryland corporation based in New Orleans, Louisiana. The Company’s banking</w:t>
      </w:r>
      <w:r w:rsidRPr="0070397B"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>subsidiary, Fidelity Bank, operates 19 banking locations in New Orleans, Hammond, Lafayette, and Baton</w:t>
      </w:r>
      <w:r w:rsidRPr="0070397B"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>Rouge, Louisiana. The Company is a Maryland corporation incorporated in February 2024 to become the</w:t>
      </w:r>
      <w:r w:rsidRPr="0070397B"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>registered bank holding company for Fidelity Bank upon the Bank’s conversion from the mutual-to-stock form</w:t>
      </w:r>
      <w:r w:rsidRPr="0070397B"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>of organization, which occurred on October 22, 2024. The Company sold 19,837,500 shares of common stock,</w:t>
      </w:r>
      <w:r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>par value $0.01 per share, at a price of $10 per share, for gross proceeds of $198,375,000. Shares of the</w:t>
      </w:r>
      <w:r w:rsidRPr="0070397B"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>Company’s common stock began trading on the Nasdaq Global Select Market under the trading symbol</w:t>
      </w:r>
      <w:r w:rsidRPr="0070397B">
        <w:rPr>
          <w:rFonts w:ascii="Arial" w:hAnsi="Arial" w:cs="Arial"/>
          <w:color w:val="242424"/>
        </w:rPr>
        <w:t xml:space="preserve"> </w:t>
      </w:r>
      <w:r w:rsidRPr="0070397B">
        <w:rPr>
          <w:rFonts w:ascii="Arial" w:hAnsi="Arial" w:cs="Arial"/>
          <w:color w:val="000000"/>
          <w:bdr w:val="none" w:sz="0" w:space="0" w:color="auto" w:frame="1"/>
        </w:rPr>
        <w:t xml:space="preserve">“FBLA” on October 23, 2024.  Accordingly, the financial and other information prior to October 22, </w:t>
      </w:r>
      <w:proofErr w:type="gramStart"/>
      <w:r w:rsidRPr="0070397B">
        <w:rPr>
          <w:rFonts w:ascii="Arial" w:hAnsi="Arial" w:cs="Arial"/>
          <w:color w:val="000000"/>
          <w:bdr w:val="none" w:sz="0" w:space="0" w:color="auto" w:frame="1"/>
        </w:rPr>
        <w:t>2024</w:t>
      </w:r>
      <w:proofErr w:type="gramEnd"/>
      <w:r w:rsidRPr="0070397B">
        <w:rPr>
          <w:rFonts w:ascii="Arial" w:hAnsi="Arial" w:cs="Arial"/>
          <w:color w:val="000000"/>
          <w:bdr w:val="none" w:sz="0" w:space="0" w:color="auto" w:frame="1"/>
        </w:rPr>
        <w:t xml:space="preserve"> which is presented herein is Bank-only.</w:t>
      </w:r>
    </w:p>
    <w:p w14:paraId="2ADBC0AE" w14:textId="48FAEF7A" w:rsidR="00EC5BCA" w:rsidRPr="0070397B" w:rsidRDefault="00EC5BCA" w:rsidP="001B1B78">
      <w:pPr>
        <w:spacing w:before="100" w:beforeAutospacing="1" w:after="100" w:afterAutospacing="1"/>
        <w:jc w:val="both"/>
        <w:rPr>
          <w:rFonts w:ascii="Arial" w:hAnsi="Arial" w:cs="Arial"/>
          <w:b/>
          <w:color w:val="000000"/>
        </w:rPr>
      </w:pPr>
      <w:r w:rsidRPr="0070397B">
        <w:rPr>
          <w:rFonts w:ascii="Arial" w:hAnsi="Arial" w:cs="Arial"/>
          <w:b/>
          <w:color w:val="000000"/>
        </w:rPr>
        <w:lastRenderedPageBreak/>
        <w:t xml:space="preserve">About </w:t>
      </w:r>
      <w:r w:rsidR="001B1B78" w:rsidRPr="0070397B">
        <w:rPr>
          <w:rFonts w:ascii="Arial" w:hAnsi="Arial" w:cs="Arial"/>
          <w:b/>
          <w:color w:val="000000"/>
        </w:rPr>
        <w:t>Fidelity</w:t>
      </w:r>
      <w:r w:rsidR="009D1EBF" w:rsidRPr="0070397B">
        <w:rPr>
          <w:rFonts w:ascii="Arial" w:hAnsi="Arial" w:cs="Arial"/>
          <w:b/>
          <w:color w:val="000000"/>
        </w:rPr>
        <w:t xml:space="preserve"> Bank</w:t>
      </w:r>
    </w:p>
    <w:p w14:paraId="2DA03229" w14:textId="48733A07" w:rsidR="00B20147" w:rsidRPr="0070397B" w:rsidRDefault="00B20147" w:rsidP="0070397B">
      <w:pPr>
        <w:jc w:val="both"/>
        <w:rPr>
          <w:rFonts w:ascii="Arial" w:hAnsi="Arial" w:cs="Arial"/>
          <w:b/>
          <w:bCs/>
        </w:rPr>
      </w:pPr>
      <w:r w:rsidRPr="0070397B">
        <w:rPr>
          <w:rFonts w:ascii="Arial" w:hAnsi="Arial" w:cs="Arial"/>
        </w:rPr>
        <w:t>Originally chartered in 1</w:t>
      </w:r>
      <w:r w:rsidR="001B1446" w:rsidRPr="0070397B">
        <w:rPr>
          <w:rFonts w:ascii="Arial" w:hAnsi="Arial" w:cs="Arial"/>
        </w:rPr>
        <w:t>9</w:t>
      </w:r>
      <w:r w:rsidR="001B1B78" w:rsidRPr="0070397B">
        <w:rPr>
          <w:rFonts w:ascii="Arial" w:hAnsi="Arial" w:cs="Arial"/>
        </w:rPr>
        <w:t>08</w:t>
      </w:r>
      <w:r w:rsidRPr="0070397B">
        <w:rPr>
          <w:rFonts w:ascii="Arial" w:hAnsi="Arial" w:cs="Arial"/>
        </w:rPr>
        <w:t xml:space="preserve">, </w:t>
      </w:r>
      <w:r w:rsidR="001B1B78" w:rsidRPr="0070397B">
        <w:rPr>
          <w:rFonts w:ascii="Arial" w:hAnsi="Arial" w:cs="Arial"/>
        </w:rPr>
        <w:t>Fidelity</w:t>
      </w:r>
      <w:r w:rsidRPr="0070397B">
        <w:rPr>
          <w:rFonts w:ascii="Arial" w:hAnsi="Arial" w:cs="Arial"/>
        </w:rPr>
        <w:t xml:space="preserve"> Bank is a </w:t>
      </w:r>
      <w:r w:rsidR="001B1B78" w:rsidRPr="0070397B">
        <w:rPr>
          <w:rFonts w:ascii="Arial" w:hAnsi="Arial" w:cs="Arial"/>
        </w:rPr>
        <w:t>Louisiana state</w:t>
      </w:r>
      <w:r w:rsidRPr="0070397B">
        <w:rPr>
          <w:rFonts w:ascii="Arial" w:hAnsi="Arial" w:cs="Arial"/>
        </w:rPr>
        <w:t xml:space="preserve">-chartered stock savings bank that conducts its business from its main office </w:t>
      </w:r>
      <w:r w:rsidR="001B1446" w:rsidRPr="0070397B">
        <w:rPr>
          <w:rFonts w:ascii="Arial" w:hAnsi="Arial" w:cs="Arial"/>
        </w:rPr>
        <w:t xml:space="preserve">and </w:t>
      </w:r>
      <w:r w:rsidR="001B1B78" w:rsidRPr="0070397B">
        <w:rPr>
          <w:rFonts w:ascii="Arial" w:hAnsi="Arial" w:cs="Arial"/>
        </w:rPr>
        <w:t>1</w:t>
      </w:r>
      <w:r w:rsidR="00B14A73" w:rsidRPr="0070397B">
        <w:rPr>
          <w:rFonts w:ascii="Arial" w:hAnsi="Arial" w:cs="Arial"/>
        </w:rPr>
        <w:t>8</w:t>
      </w:r>
      <w:r w:rsidR="001B1446" w:rsidRPr="0070397B">
        <w:rPr>
          <w:rFonts w:ascii="Arial" w:hAnsi="Arial" w:cs="Arial"/>
        </w:rPr>
        <w:t xml:space="preserve"> branch offices located in </w:t>
      </w:r>
      <w:r w:rsidR="001B1B78" w:rsidRPr="0070397B">
        <w:rPr>
          <w:rFonts w:ascii="Arial" w:hAnsi="Arial" w:cs="Arial"/>
        </w:rPr>
        <w:t xml:space="preserve">the East Baton Rouge, Jefferson, </w:t>
      </w:r>
      <w:r w:rsidR="00B14A73" w:rsidRPr="0070397B">
        <w:rPr>
          <w:rFonts w:ascii="Arial" w:hAnsi="Arial" w:cs="Arial"/>
        </w:rPr>
        <w:t xml:space="preserve">Lafayette, </w:t>
      </w:r>
      <w:r w:rsidR="001B1B78" w:rsidRPr="0070397B">
        <w:rPr>
          <w:rFonts w:ascii="Arial" w:hAnsi="Arial" w:cs="Arial"/>
        </w:rPr>
        <w:t>Orleans, St. Tammany, and Tangipahoa</w:t>
      </w:r>
      <w:r w:rsidR="001B1446" w:rsidRPr="0070397B">
        <w:rPr>
          <w:rFonts w:ascii="Arial" w:hAnsi="Arial" w:cs="Arial"/>
        </w:rPr>
        <w:t xml:space="preserve"> Parishes</w:t>
      </w:r>
      <w:r w:rsidRPr="0070397B">
        <w:rPr>
          <w:rFonts w:ascii="Arial" w:hAnsi="Arial" w:cs="Arial"/>
        </w:rPr>
        <w:t>.</w:t>
      </w:r>
      <w:r w:rsidR="004E541A" w:rsidRPr="0070397B">
        <w:rPr>
          <w:rFonts w:ascii="Arial" w:hAnsi="Arial" w:cs="Arial"/>
        </w:rPr>
        <w:t xml:space="preserve"> </w:t>
      </w:r>
    </w:p>
    <w:p w14:paraId="28839F27" w14:textId="77777777" w:rsidR="00B95FFC" w:rsidRPr="0070397B" w:rsidRDefault="00B95FFC" w:rsidP="00065265">
      <w:pPr>
        <w:rPr>
          <w:rFonts w:ascii="Arial" w:hAnsi="Arial" w:cs="Arial"/>
          <w:bCs/>
        </w:rPr>
      </w:pPr>
    </w:p>
    <w:p w14:paraId="5C7D547D" w14:textId="77777777" w:rsidR="00B95FFC" w:rsidRPr="0070397B" w:rsidRDefault="00B95FFC" w:rsidP="00065265">
      <w:pPr>
        <w:jc w:val="center"/>
        <w:rPr>
          <w:rFonts w:ascii="Arial" w:hAnsi="Arial" w:cs="Arial"/>
        </w:rPr>
      </w:pPr>
      <w:r w:rsidRPr="0070397B">
        <w:rPr>
          <w:rFonts w:ascii="Arial" w:hAnsi="Arial" w:cs="Arial"/>
        </w:rPr>
        <w:t>#      #      #</w:t>
      </w:r>
    </w:p>
    <w:sectPr w:rsidR="00B95FFC" w:rsidRPr="0070397B" w:rsidSect="000945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86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5BE3C" w14:textId="77777777" w:rsidR="00397197" w:rsidRDefault="00397197" w:rsidP="00650CEE">
      <w:r>
        <w:separator/>
      </w:r>
    </w:p>
  </w:endnote>
  <w:endnote w:type="continuationSeparator" w:id="0">
    <w:p w14:paraId="5BE7E211" w14:textId="77777777" w:rsidR="00397197" w:rsidRDefault="00397197" w:rsidP="00650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iDocIDField4a4c13e3-169c-48ec-8f72-cfe3"/>
  <w:p w14:paraId="3C360C0B" w14:textId="1B5300EA" w:rsidR="005E1E62" w:rsidRDefault="005E1E62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 w:rsidR="00652C4A">
      <w:t>{Clients/1897/4923-7911-5144-v1}</w:t>
    </w:r>
    <w:r>
      <w:fldChar w:fldCharType="end"/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817E2" w14:textId="77777777" w:rsidR="005E1E62" w:rsidRDefault="005E1E62" w:rsidP="00710B2E">
    <w:pPr>
      <w:pStyle w:val="Footer"/>
    </w:pPr>
    <w:r>
      <w:tab/>
    </w:r>
    <w:sdt>
      <w:sdtPr>
        <w:id w:val="43331961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030B3">
          <w:fldChar w:fldCharType="begin"/>
        </w:r>
        <w:r w:rsidRPr="009030B3">
          <w:instrText xml:space="preserve"> PAGE   \* MERGEFORMAT </w:instrText>
        </w:r>
        <w:r w:rsidRPr="009030B3">
          <w:fldChar w:fldCharType="separate"/>
        </w:r>
        <w:r>
          <w:t>0</w:t>
        </w:r>
        <w:r w:rsidRPr="009030B3">
          <w:rPr>
            <w:noProof/>
          </w:rPr>
          <w:fldChar w:fldCharType="end"/>
        </w:r>
      </w:sdtContent>
    </w:sdt>
  </w:p>
  <w:bookmarkStart w:id="1" w:name="_iDocIDFieldf3617342-1738-497a-a5a1-2e7f"/>
  <w:p w14:paraId="001924B4" w14:textId="4F0FCB75" w:rsidR="005E1E62" w:rsidRDefault="005E1E62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 w:rsidR="00652C4A">
      <w:t>{Clients/1897/4923-7911-5144-v1}</w:t>
    </w:r>
    <w:r>
      <w:fldChar w:fldCharType="end"/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3EBFE" w14:textId="77777777" w:rsidR="005E1E62" w:rsidRDefault="005E1E62" w:rsidP="003B5539">
    <w:pPr>
      <w:pStyle w:val="Footer"/>
    </w:pPr>
    <w:r>
      <w:tab/>
    </w:r>
  </w:p>
  <w:bookmarkStart w:id="2" w:name="_iDocIDFieldb04d732b-b8db-4094-9d90-d456"/>
  <w:p w14:paraId="56E12406" w14:textId="2AC0E9F3" w:rsidR="005E1E62" w:rsidRDefault="005E1E62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 w:rsidR="00652C4A">
      <w:t>{Clients/1897/4923-7911-5144-v1}</w:t>
    </w:r>
    <w:r>
      <w:fldChar w:fldCharType="end"/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63EC2" w14:textId="77777777" w:rsidR="00397197" w:rsidRDefault="00397197" w:rsidP="00650CEE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157FA8DC" w14:textId="77777777" w:rsidR="00397197" w:rsidRDefault="00397197" w:rsidP="00650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69F1D" w14:textId="77777777" w:rsidR="00F139E9" w:rsidRDefault="00F139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6A591" w14:textId="77777777" w:rsidR="00F139E9" w:rsidRDefault="00F139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C4755" w14:textId="0A79681E" w:rsidR="00650CEE" w:rsidRDefault="000C2ACD" w:rsidP="000C2ACD">
    <w:pPr>
      <w:pStyle w:val="Header"/>
      <w:jc w:val="center"/>
    </w:pPr>
    <w:r>
      <w:rPr>
        <w:noProof/>
      </w:rPr>
      <w:drawing>
        <wp:inline distT="0" distB="0" distL="0" distR="0" wp14:anchorId="6E9BFBDF" wp14:editId="711A83F5">
          <wp:extent cx="2047875" cy="819587"/>
          <wp:effectExtent l="0" t="0" r="0" b="0"/>
          <wp:docPr id="1181585314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1585314" name="Picture 1" descr="A blue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2968" cy="8336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6FD"/>
    <w:rsid w:val="000138FF"/>
    <w:rsid w:val="00022B9C"/>
    <w:rsid w:val="0005351D"/>
    <w:rsid w:val="00055FC6"/>
    <w:rsid w:val="000625A8"/>
    <w:rsid w:val="000713F2"/>
    <w:rsid w:val="000945D9"/>
    <w:rsid w:val="000953C7"/>
    <w:rsid w:val="000C2ACD"/>
    <w:rsid w:val="000D1144"/>
    <w:rsid w:val="000D6191"/>
    <w:rsid w:val="000D732F"/>
    <w:rsid w:val="000E4165"/>
    <w:rsid w:val="000F2E76"/>
    <w:rsid w:val="00102F02"/>
    <w:rsid w:val="00123952"/>
    <w:rsid w:val="0012675F"/>
    <w:rsid w:val="001319EF"/>
    <w:rsid w:val="00143C0F"/>
    <w:rsid w:val="00145FE9"/>
    <w:rsid w:val="00177640"/>
    <w:rsid w:val="001829FC"/>
    <w:rsid w:val="00184819"/>
    <w:rsid w:val="00186B10"/>
    <w:rsid w:val="0019060C"/>
    <w:rsid w:val="001A1F55"/>
    <w:rsid w:val="001A3457"/>
    <w:rsid w:val="001B1446"/>
    <w:rsid w:val="001B1B78"/>
    <w:rsid w:val="001B6835"/>
    <w:rsid w:val="001C7563"/>
    <w:rsid w:val="001D505A"/>
    <w:rsid w:val="001F5317"/>
    <w:rsid w:val="00225B26"/>
    <w:rsid w:val="00227929"/>
    <w:rsid w:val="002421D6"/>
    <w:rsid w:val="00260E31"/>
    <w:rsid w:val="00285A02"/>
    <w:rsid w:val="00295B54"/>
    <w:rsid w:val="0029756A"/>
    <w:rsid w:val="002A2EE5"/>
    <w:rsid w:val="002A414B"/>
    <w:rsid w:val="002B11E3"/>
    <w:rsid w:val="002C5C53"/>
    <w:rsid w:val="002D048F"/>
    <w:rsid w:val="002D7605"/>
    <w:rsid w:val="002E0C8E"/>
    <w:rsid w:val="002E40D9"/>
    <w:rsid w:val="002F26F6"/>
    <w:rsid w:val="0031012A"/>
    <w:rsid w:val="0031718B"/>
    <w:rsid w:val="0032549F"/>
    <w:rsid w:val="00397197"/>
    <w:rsid w:val="003B55B8"/>
    <w:rsid w:val="003B7805"/>
    <w:rsid w:val="003D1549"/>
    <w:rsid w:val="003D4E4F"/>
    <w:rsid w:val="003E588F"/>
    <w:rsid w:val="003F285D"/>
    <w:rsid w:val="004025DE"/>
    <w:rsid w:val="004032EF"/>
    <w:rsid w:val="00416156"/>
    <w:rsid w:val="00416B52"/>
    <w:rsid w:val="00451B4F"/>
    <w:rsid w:val="00452CF3"/>
    <w:rsid w:val="0045532F"/>
    <w:rsid w:val="0046596D"/>
    <w:rsid w:val="00486034"/>
    <w:rsid w:val="004902FA"/>
    <w:rsid w:val="004B2602"/>
    <w:rsid w:val="004B7986"/>
    <w:rsid w:val="004C025F"/>
    <w:rsid w:val="004D24C0"/>
    <w:rsid w:val="004D4F16"/>
    <w:rsid w:val="004E13D4"/>
    <w:rsid w:val="004E541A"/>
    <w:rsid w:val="004E5709"/>
    <w:rsid w:val="004E58BD"/>
    <w:rsid w:val="00500E85"/>
    <w:rsid w:val="0052217B"/>
    <w:rsid w:val="00526109"/>
    <w:rsid w:val="005309EC"/>
    <w:rsid w:val="0053731A"/>
    <w:rsid w:val="005543D7"/>
    <w:rsid w:val="00571F75"/>
    <w:rsid w:val="005B1AA4"/>
    <w:rsid w:val="005B609E"/>
    <w:rsid w:val="005E1E62"/>
    <w:rsid w:val="005E73DD"/>
    <w:rsid w:val="005F5C80"/>
    <w:rsid w:val="006113C0"/>
    <w:rsid w:val="00617A1E"/>
    <w:rsid w:val="00642BD7"/>
    <w:rsid w:val="00646331"/>
    <w:rsid w:val="00650CEE"/>
    <w:rsid w:val="00652C4A"/>
    <w:rsid w:val="00655942"/>
    <w:rsid w:val="00682896"/>
    <w:rsid w:val="00694575"/>
    <w:rsid w:val="006B36AB"/>
    <w:rsid w:val="006B5F40"/>
    <w:rsid w:val="006D7E80"/>
    <w:rsid w:val="006F77E7"/>
    <w:rsid w:val="00700573"/>
    <w:rsid w:val="0070397B"/>
    <w:rsid w:val="0071041A"/>
    <w:rsid w:val="00734DA5"/>
    <w:rsid w:val="007358B3"/>
    <w:rsid w:val="00740ABA"/>
    <w:rsid w:val="00751D49"/>
    <w:rsid w:val="00755A5A"/>
    <w:rsid w:val="00774310"/>
    <w:rsid w:val="00776732"/>
    <w:rsid w:val="00791236"/>
    <w:rsid w:val="00796062"/>
    <w:rsid w:val="007A1BCA"/>
    <w:rsid w:val="007B68F4"/>
    <w:rsid w:val="007D61AD"/>
    <w:rsid w:val="007E78D3"/>
    <w:rsid w:val="00811E5B"/>
    <w:rsid w:val="00816A96"/>
    <w:rsid w:val="00825E7B"/>
    <w:rsid w:val="00846B79"/>
    <w:rsid w:val="00847482"/>
    <w:rsid w:val="00847734"/>
    <w:rsid w:val="0085039D"/>
    <w:rsid w:val="00853112"/>
    <w:rsid w:val="00856F06"/>
    <w:rsid w:val="00871242"/>
    <w:rsid w:val="008874A4"/>
    <w:rsid w:val="008A0511"/>
    <w:rsid w:val="008B60C2"/>
    <w:rsid w:val="008D6559"/>
    <w:rsid w:val="008E26CC"/>
    <w:rsid w:val="008F7756"/>
    <w:rsid w:val="009030B3"/>
    <w:rsid w:val="0091762D"/>
    <w:rsid w:val="00935148"/>
    <w:rsid w:val="009646FD"/>
    <w:rsid w:val="00970ED9"/>
    <w:rsid w:val="009763F7"/>
    <w:rsid w:val="00980BF3"/>
    <w:rsid w:val="009823A1"/>
    <w:rsid w:val="00984687"/>
    <w:rsid w:val="009A7E70"/>
    <w:rsid w:val="009C7CC8"/>
    <w:rsid w:val="009D1EBF"/>
    <w:rsid w:val="009F1E46"/>
    <w:rsid w:val="00A071E8"/>
    <w:rsid w:val="00A12F45"/>
    <w:rsid w:val="00A163AC"/>
    <w:rsid w:val="00A20D1F"/>
    <w:rsid w:val="00A24772"/>
    <w:rsid w:val="00A61BEF"/>
    <w:rsid w:val="00A72387"/>
    <w:rsid w:val="00A779E3"/>
    <w:rsid w:val="00AB026E"/>
    <w:rsid w:val="00AB1CA5"/>
    <w:rsid w:val="00AB3E46"/>
    <w:rsid w:val="00AC05AF"/>
    <w:rsid w:val="00AC7604"/>
    <w:rsid w:val="00AE53C5"/>
    <w:rsid w:val="00B0328E"/>
    <w:rsid w:val="00B13DA2"/>
    <w:rsid w:val="00B14A73"/>
    <w:rsid w:val="00B20147"/>
    <w:rsid w:val="00B2212E"/>
    <w:rsid w:val="00B8098D"/>
    <w:rsid w:val="00B87B90"/>
    <w:rsid w:val="00B90077"/>
    <w:rsid w:val="00B90315"/>
    <w:rsid w:val="00B95FFC"/>
    <w:rsid w:val="00B97BA1"/>
    <w:rsid w:val="00BA152C"/>
    <w:rsid w:val="00BA5A21"/>
    <w:rsid w:val="00BA5FE0"/>
    <w:rsid w:val="00BC3F35"/>
    <w:rsid w:val="00BE1BD6"/>
    <w:rsid w:val="00C27F40"/>
    <w:rsid w:val="00C31299"/>
    <w:rsid w:val="00C37089"/>
    <w:rsid w:val="00C9585E"/>
    <w:rsid w:val="00CE0ECB"/>
    <w:rsid w:val="00CF3749"/>
    <w:rsid w:val="00D06671"/>
    <w:rsid w:val="00D168D9"/>
    <w:rsid w:val="00D20A61"/>
    <w:rsid w:val="00D50E89"/>
    <w:rsid w:val="00D55EBC"/>
    <w:rsid w:val="00D67681"/>
    <w:rsid w:val="00D865F0"/>
    <w:rsid w:val="00DA1FD1"/>
    <w:rsid w:val="00DC4819"/>
    <w:rsid w:val="00DD137B"/>
    <w:rsid w:val="00DD5798"/>
    <w:rsid w:val="00DE18EE"/>
    <w:rsid w:val="00E0533C"/>
    <w:rsid w:val="00E06D1A"/>
    <w:rsid w:val="00E15599"/>
    <w:rsid w:val="00E225E8"/>
    <w:rsid w:val="00E2299D"/>
    <w:rsid w:val="00E33456"/>
    <w:rsid w:val="00E34084"/>
    <w:rsid w:val="00E41B52"/>
    <w:rsid w:val="00E66360"/>
    <w:rsid w:val="00E7295D"/>
    <w:rsid w:val="00EA3C55"/>
    <w:rsid w:val="00EB5751"/>
    <w:rsid w:val="00EC266B"/>
    <w:rsid w:val="00EC5BCA"/>
    <w:rsid w:val="00F016FD"/>
    <w:rsid w:val="00F03499"/>
    <w:rsid w:val="00F139E9"/>
    <w:rsid w:val="00F16669"/>
    <w:rsid w:val="00F229EB"/>
    <w:rsid w:val="00F24764"/>
    <w:rsid w:val="00F5391F"/>
    <w:rsid w:val="00F60CA9"/>
    <w:rsid w:val="00F65105"/>
    <w:rsid w:val="00F73639"/>
    <w:rsid w:val="00FA7F37"/>
    <w:rsid w:val="00FC6566"/>
    <w:rsid w:val="00FD0256"/>
    <w:rsid w:val="00FD581B"/>
    <w:rsid w:val="00FE0BA1"/>
    <w:rsid w:val="00FE2F8D"/>
    <w:rsid w:val="00FE6295"/>
    <w:rsid w:val="00FF4AB6"/>
    <w:rsid w:val="00FF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6682F"/>
  <w15:chartTrackingRefBased/>
  <w15:docId w15:val="{2B958B0F-70D7-4A09-82BC-F540A003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0C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0CE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0C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0CEE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aliases w:val="Style 57,Style 13"/>
    <w:basedOn w:val="Normal"/>
    <w:link w:val="NormalWebChar"/>
    <w:uiPriority w:val="99"/>
    <w:qFormat/>
    <w:rsid w:val="00FE2F8D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9763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aliases w:val="Style 57 Char,Style 13 Char"/>
    <w:basedOn w:val="DefaultParagraphFont"/>
    <w:link w:val="NormalWeb"/>
    <w:uiPriority w:val="99"/>
    <w:locked/>
    <w:rsid w:val="00A72387"/>
    <w:rPr>
      <w:rFonts w:ascii="Times New Roman" w:eastAsia="Times New Roman" w:hAnsi="Times New Roman" w:cs="Times New Roman"/>
      <w:sz w:val="24"/>
      <w:szCs w:val="24"/>
    </w:rPr>
  </w:style>
  <w:style w:type="paragraph" w:customStyle="1" w:styleId="DocID">
    <w:name w:val="DocID"/>
    <w:basedOn w:val="Footer"/>
    <w:next w:val="Footer"/>
    <w:link w:val="DocIDChar"/>
    <w:rsid w:val="00B95FFC"/>
    <w:pPr>
      <w:tabs>
        <w:tab w:val="clear" w:pos="4680"/>
        <w:tab w:val="clear" w:pos="9360"/>
      </w:tabs>
    </w:pPr>
    <w:rPr>
      <w:sz w:val="16"/>
      <w:szCs w:val="20"/>
    </w:rPr>
  </w:style>
  <w:style w:type="character" w:customStyle="1" w:styleId="DocIDChar">
    <w:name w:val="DocID Char"/>
    <w:basedOn w:val="DefaultParagraphFont"/>
    <w:link w:val="DocID"/>
    <w:rsid w:val="00B95FFC"/>
    <w:rPr>
      <w:rFonts w:ascii="Times New Roman" w:eastAsia="Times New Roman" w:hAnsi="Times New Roman" w:cs="Times New Roman"/>
      <w:sz w:val="16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2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2484</Characters>
  <Application>Microsoft Office Word</Application>
  <DocSecurity>0</DocSecurity>
  <PresentationFormat>15|.DOCX</PresentationFormat>
  <Lines>51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Release Re. Stock Repurchase Program (April 2024) (00443862).DOCX</vt:lpstr>
    </vt:vector>
  </TitlesOfParts>
  <Company>HP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Re. Stock Repurchase Program (April 2024) (00443862).DOCX</dc:title>
  <dc:subject>Clients/1578/00443862.DOCX/ /font=8</dc:subject>
  <dc:creator>Bedinghaus</dc:creator>
  <cp:keywords/>
  <dc:description/>
  <cp:lastModifiedBy>Angie Palmer</cp:lastModifiedBy>
  <cp:revision>3</cp:revision>
  <cp:lastPrinted>2026-01-13T16:54:00Z</cp:lastPrinted>
  <dcterms:created xsi:type="dcterms:W3CDTF">2026-02-19T22:12:00Z</dcterms:created>
  <dcterms:modified xsi:type="dcterms:W3CDTF">2026-02-19T22:12:00Z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_DocIDString">
    <vt:lpwstr>{Clients/1897/4923-7911-5144-v1}</vt:lpwstr>
  </property>
  <property fmtid="{D5CDD505-2E9C-101B-9397-08002B2CF9AE}" pid="3" name="CUS_DocIDChunk0">
    <vt:lpwstr>{Clients/1897/4923-7911-5144-v1}</vt:lpwstr>
  </property>
  <property fmtid="{D5CDD505-2E9C-101B-9397-08002B2CF9AE}" pid="4" name="CUS_DocIDActiveBits">
    <vt:lpwstr>493568</vt:lpwstr>
  </property>
  <property fmtid="{D5CDD505-2E9C-101B-9397-08002B2CF9AE}" pid="5" name="CUS_DocIDLocation">
    <vt:lpwstr>EVERY_PAGE</vt:lpwstr>
  </property>
  <property fmtid="{D5CDD505-2E9C-101B-9397-08002B2CF9AE}" pid="6" name="CUS_DocIDReference">
    <vt:lpwstr>everyPage</vt:lpwstr>
  </property>
  <property fmtid="{D5CDD505-2E9C-101B-9397-08002B2CF9AE}" pid="7" name="MSIP_Label_be9943d1-14a4-45e9-9027-d1c15a9d884d_Enabled">
    <vt:lpwstr>true</vt:lpwstr>
  </property>
  <property fmtid="{D5CDD505-2E9C-101B-9397-08002B2CF9AE}" pid="8" name="MSIP_Label_be9943d1-14a4-45e9-9027-d1c15a9d884d_SetDate">
    <vt:lpwstr>2025-11-11T14:43:19Z</vt:lpwstr>
  </property>
  <property fmtid="{D5CDD505-2E9C-101B-9397-08002B2CF9AE}" pid="9" name="MSIP_Label_be9943d1-14a4-45e9-9027-d1c15a9d884d_Method">
    <vt:lpwstr>Standard</vt:lpwstr>
  </property>
  <property fmtid="{D5CDD505-2E9C-101B-9397-08002B2CF9AE}" pid="10" name="MSIP_Label_be9943d1-14a4-45e9-9027-d1c15a9d884d_Name">
    <vt:lpwstr>defa4170-0d19-0005-0004-bc88714345d2</vt:lpwstr>
  </property>
  <property fmtid="{D5CDD505-2E9C-101B-9397-08002B2CF9AE}" pid="11" name="MSIP_Label_be9943d1-14a4-45e9-9027-d1c15a9d884d_SiteId">
    <vt:lpwstr>41e493fc-ba2b-42de-ba56-675256aa2c78</vt:lpwstr>
  </property>
  <property fmtid="{D5CDD505-2E9C-101B-9397-08002B2CF9AE}" pid="12" name="MSIP_Label_be9943d1-14a4-45e9-9027-d1c15a9d884d_ActionId">
    <vt:lpwstr>15db7d1f-6053-4f26-90e9-4a3eab77d1d9</vt:lpwstr>
  </property>
  <property fmtid="{D5CDD505-2E9C-101B-9397-08002B2CF9AE}" pid="13" name="MSIP_Label_be9943d1-14a4-45e9-9027-d1c15a9d884d_ContentBits">
    <vt:lpwstr>0</vt:lpwstr>
  </property>
</Properties>
</file>